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spacing w:after="0" w:line="360" w:lineRule="auto"/>
        <w:jc w:val="both"/>
        <w:rPr>
          <w:rFonts w:ascii="Century Gothic" w:cs="Century Gothic" w:eastAsia="Century Gothic" w:hAnsi="Century Gothic"/>
        </w:rPr>
      </w:pPr>
      <w:bookmarkStart w:colFirst="0" w:colLast="0" w:name="_a3bf7hgyzojx" w:id="0"/>
      <w:bookmarkEnd w:id="0"/>
      <w:r w:rsidDel="00000000" w:rsidR="00000000" w:rsidRPr="00000000">
        <w:rPr>
          <w:rFonts w:ascii="Century Gothic" w:cs="Century Gothic" w:eastAsia="Century Gothic" w:hAnsi="Century Gothic"/>
          <w:b w:val="1"/>
          <w:bCs w:val="1"/>
          <w:rtl w:val="0"/>
        </w:rPr>
        <w:t xml:space="preserve">Forum: </w:t>
      </w:r>
      <w:r w:rsidDel="00000000" w:rsidR="00000000" w:rsidRPr="00000000">
        <w:rPr>
          <w:rFonts w:ascii="Century Gothic" w:cs="Century Gothic" w:eastAsia="Century Gothic" w:hAnsi="Century Gothic"/>
          <w:rtl w:val="0"/>
        </w:rPr>
        <w:t xml:space="preserve">Commission on Crime</w:t>
      </w:r>
      <w:r w:rsidDel="00000000" w:rsidR="00000000" w:rsidRPr="00000000">
        <w:rPr>
          <w:rFonts w:ascii="Century Gothic" w:cs="Century Gothic" w:eastAsia="Century Gothic" w:hAnsi="Century Gothic"/>
          <w:b w:val="1"/>
          <w:bCs w:val="1"/>
          <w:rtl w:val="0"/>
        </w:rPr>
        <w:t xml:space="preserve"> </w:t>
      </w:r>
      <w:r w:rsidDel="00000000" w:rsidR="00000000" w:rsidRPr="00000000">
        <w:rPr>
          <w:rFonts w:ascii="Century Gothic" w:cs="Century Gothic" w:eastAsia="Century Gothic" w:hAnsi="Century Gothic"/>
          <w:rtl w:val="0"/>
        </w:rPr>
        <w:t xml:space="preserve">Prevention and Criminal Justice (CCPCJ)</w:t>
      </w:r>
      <w:r w:rsidDel="00000000" w:rsidR="00000000" w:rsidRPr="00000000">
        <w:rPr>
          <w:rtl w:val="0"/>
        </w:rPr>
      </w:r>
    </w:p>
    <w:p w:rsidR="00000000" w:rsidDel="00000000" w:rsidP="00000000" w:rsidRDefault="00000000" w:rsidRPr="00000000" w14:paraId="00000002">
      <w:pPr>
        <w:pageBreakBefore w:val="0"/>
        <w:widowControl w:val="0"/>
        <w:spacing w:after="0" w:line="360" w:lineRule="auto"/>
        <w:ind w:left="1170" w:hanging="117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Issue #1: </w:t>
      </w:r>
      <w:r w:rsidDel="00000000" w:rsidR="00000000" w:rsidRPr="00000000">
        <w:rPr>
          <w:rFonts w:ascii="Century Gothic" w:cs="Century Gothic" w:eastAsia="Century Gothic" w:hAnsi="Century Gothic"/>
          <w:rtl w:val="0"/>
        </w:rPr>
        <w:t xml:space="preserve">Addressing the criminalization of survival-based offenses in marginalized communities.</w:t>
      </w:r>
    </w:p>
    <w:p w:rsidR="00000000" w:rsidDel="00000000" w:rsidP="00000000" w:rsidRDefault="00000000" w:rsidRPr="00000000" w14:paraId="00000003">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Student Officers:</w:t>
      </w:r>
      <w:r w:rsidDel="00000000" w:rsidR="00000000" w:rsidRPr="00000000">
        <w:rPr>
          <w:rFonts w:ascii="Century Gothic" w:cs="Century Gothic" w:eastAsia="Century Gothic" w:hAnsi="Century Gothic"/>
          <w:rtl w:val="0"/>
        </w:rPr>
        <w:t xml:space="preserve"> Jennifer Jorgensen  </w:t>
      </w:r>
    </w:p>
    <w:p w:rsidR="00000000" w:rsidDel="00000000" w:rsidP="00000000" w:rsidRDefault="00000000" w:rsidRPr="00000000" w14:paraId="00000004">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Position: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Chair of the </w:t>
      </w:r>
      <w:r w:rsidDel="00000000" w:rsidR="00000000" w:rsidRPr="00000000">
        <w:rPr>
          <w:rFonts w:ascii="Century Gothic" w:cs="Century Gothic" w:eastAsia="Century Gothic" w:hAnsi="Century Gothic"/>
          <w:rtl w:val="0"/>
        </w:rPr>
        <w:t xml:space="preserve">Commission on Crime Prevention and Criminal Justice </w:t>
      </w:r>
    </w:p>
    <w:p w:rsidR="00000000" w:rsidDel="00000000" w:rsidP="00000000" w:rsidRDefault="00000000" w:rsidRPr="00000000" w14:paraId="00000005">
      <w:pPr>
        <w:pageBreakBefore w:val="0"/>
        <w:widowControl w:val="0"/>
        <w:spacing w:after="0" w:line="360" w:lineRule="auto"/>
        <w:ind w:left="2160"/>
        <w:jc w:val="both"/>
        <w:rPr>
          <w:rFonts w:ascii="Century Gothic" w:cs="Century Gothic" w:eastAsia="Century Gothic" w:hAnsi="Century Gothic"/>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7">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Pr>
        <w:drawing>
          <wp:inline distB="114300" distT="114300" distL="114300" distR="114300">
            <wp:extent cx="5943600" cy="4394200"/>
            <wp:effectExtent b="0" l="0" r="0" t="0"/>
            <wp:docPr descr="Federal officers detain a person while members of the community and activists protest near the 3900 block of South Kedzie Avenue, Oct. 4, in Chicago." id="1" name="image1.jpg"/>
            <a:graphic>
              <a:graphicData uri="http://schemas.openxmlformats.org/drawingml/2006/picture">
                <pic:pic>
                  <pic:nvPicPr>
                    <pic:cNvPr descr="Federal officers detain a person while members of the community and activists protest near the 3900 block of South Kedzie Avenue, Oct. 4, in Chicago." id="0" name="image1.jpg"/>
                    <pic:cNvPicPr preferRelativeResize="0"/>
                  </pic:nvPicPr>
                  <pic:blipFill>
                    <a:blip r:embed="rId7"/>
                    <a:srcRect b="0" l="0" r="0" t="0"/>
                    <a:stretch>
                      <a:fillRect/>
                    </a:stretch>
                  </pic:blipFill>
                  <pic:spPr>
                    <a:xfrm>
                      <a:off x="0" y="0"/>
                      <a:ext cx="5943600" cy="439420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widowControl w:val="0"/>
        <w:spacing w:line="360" w:lineRule="auto"/>
        <w:ind w:left="0" w:hanging="60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Anderson, Meg. “Tackles, Projectiles and Gunfire: Many Fear ICE Tactics Are Growing More Violent.” </w:t>
      </w:r>
      <w:r w:rsidDel="00000000" w:rsidR="00000000" w:rsidRPr="00000000">
        <w:rPr>
          <w:rFonts w:ascii="Century Gothic" w:cs="Century Gothic" w:eastAsia="Century Gothic" w:hAnsi="Century Gothic"/>
          <w:i w:val="1"/>
          <w:iCs w:val="1"/>
          <w:rtl w:val="0"/>
        </w:rPr>
        <w:t xml:space="preserve">Opb</w:t>
      </w:r>
      <w:r w:rsidDel="00000000" w:rsidR="00000000" w:rsidRPr="00000000">
        <w:rPr>
          <w:rFonts w:ascii="Century Gothic" w:cs="Century Gothic" w:eastAsia="Century Gothic" w:hAnsi="Century Gothic"/>
          <w:rtl w:val="0"/>
        </w:rPr>
        <w:t xml:space="preserve">, OPB, 13 Oct. 2025, https://www.opb.org/article/2025/10/13/concerns-mount-over-increased-violence-among-federal-immigration-agents/. Accessed 20 Apr. 2026.</w:t>
      </w:r>
    </w:p>
    <w:p w:rsidR="00000000" w:rsidDel="00000000" w:rsidP="00000000" w:rsidRDefault="00000000" w:rsidRPr="00000000" w14:paraId="00000009">
      <w:pPr>
        <w:widowControl w:val="0"/>
        <w:spacing w:after="0" w:before="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w:t>
      </w:r>
    </w:p>
    <w:p w:rsidR="00000000" w:rsidDel="00000000" w:rsidP="00000000" w:rsidRDefault="00000000" w:rsidRPr="00000000" w14:paraId="0000000A">
      <w:pPr>
        <w:widowControl w:val="0"/>
        <w:spacing w:after="0" w:before="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0B">
      <w:pPr>
        <w:widowControl w:val="0"/>
        <w:spacing w:after="0" w:before="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0C">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0000ff"/>
          <w:rtl w:val="0"/>
        </w:rPr>
        <w:t xml:space="preserve">Introduction</w:t>
      </w:r>
      <w:r w:rsidDel="00000000" w:rsidR="00000000" w:rsidRPr="00000000">
        <w:rPr>
          <w:rtl w:val="0"/>
        </w:rPr>
      </w:r>
    </w:p>
    <w:p w:rsidR="00000000" w:rsidDel="00000000" w:rsidP="00000000" w:rsidRDefault="00000000" w:rsidRPr="00000000" w14:paraId="0000000D">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Criminal justice systems have been designed to maintain order and structure within society. However, in many cases, these systems criminalize actions necessary for survival and fail to consider the underlying socioeconomic factors. As a result, necessity-driven behaviors are immediately punished rather than being questioned about their root causes. This issue highlights a comprehensive challenge within legal frameworks, as laws are often applied uniformly despite greatly unequal social and economic realities. This issue has been persistent across many legal systems, historically linked to both poverty and social exclusion, but has only now begun to become visible in discussions surrounding reform and social equity. </w:t>
      </w:r>
    </w:p>
    <w:p w:rsidR="00000000" w:rsidDel="00000000" w:rsidP="00000000" w:rsidRDefault="00000000" w:rsidRPr="00000000" w14:paraId="0000000E">
      <w:pPr>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F">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forms of criminalization often take the form of survival-based offenses, which are minor crimes committed by individuals seeking to meet basic needs such as food, income, or shelter. They often include crimes such as loitering, shoplifting, sleeping in public spaces, or taking part in unregulated work. While generally low-level and non-violent in nature, these behaviors are subject to legal penalties. Behaviors like these are more commonly seen among marginalized populations, including individuals facing homelessness, migrants, and those living in poverty. Due to limited resources and/or access to economic opportunities, social services, and legal protections, these groups are disproportionately affected by policies that criminalize necessity-driven actions. </w:t>
      </w:r>
    </w:p>
    <w:p w:rsidR="00000000" w:rsidDel="00000000" w:rsidP="00000000" w:rsidRDefault="00000000" w:rsidRPr="00000000" w14:paraId="00000010">
      <w:pPr>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1">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As a result, the criminalization of these offenses often leads to cycles of poverty, as individuals face fines, incarceration, and long-term criminal records that limit future opportunities. In doing so, the prosecution of minor, non-violent offenses adds a further strain on already overburdened criminal justice systems, diverting certain resources and time from addressing more serious crimes. Many cases show how individuals face significant barriers to housing, employment, and social reintegration, increasing the likelihood of repeated interactions with the justice system. However, the issue continues to remain highly controversial, as some argue that laws must be enforced in a uniform manner to maintain order, while others push for reform and argue that these punishments are both ineffective and unjust. This process reinforces existing social inequalities and raises significant concerns regarding the fairness and proportionality within legal frameworks. </w:t>
      </w:r>
    </w:p>
    <w:p w:rsidR="00000000" w:rsidDel="00000000" w:rsidP="00000000" w:rsidRDefault="00000000" w:rsidRPr="00000000" w14:paraId="00000012">
      <w:pPr>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3">
      <w:pPr>
        <w:widowControl w:val="0"/>
        <w:spacing w:after="0" w:before="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Definition of Key Terms</w:t>
      </w:r>
    </w:p>
    <w:p w:rsidR="00000000" w:rsidDel="00000000" w:rsidP="00000000" w:rsidRDefault="00000000" w:rsidRPr="00000000" w14:paraId="00000014">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Survival-Based Offenses: </w:t>
      </w:r>
      <w:r w:rsidDel="00000000" w:rsidR="00000000" w:rsidRPr="00000000">
        <w:rPr>
          <w:rFonts w:ascii="Century Gothic" w:cs="Century Gothic" w:eastAsia="Century Gothic" w:hAnsi="Century Gothic"/>
          <w:rtl w:val="0"/>
        </w:rPr>
        <w:t xml:space="preserve">Crimes committed out of necessity to meet basic survival needs, such as stealing food or shelter-related acts due to extreme poverty or homelessness (Butler). </w:t>
      </w:r>
    </w:p>
    <w:p w:rsidR="00000000" w:rsidDel="00000000" w:rsidP="00000000" w:rsidRDefault="00000000" w:rsidRPr="00000000" w14:paraId="00000015">
      <w:pPr>
        <w:widowControl w:val="0"/>
        <w:spacing w:after="0" w:before="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6">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Marginalized Communities: </w:t>
      </w:r>
      <w:r w:rsidDel="00000000" w:rsidR="00000000" w:rsidRPr="00000000">
        <w:rPr>
          <w:rFonts w:ascii="Century Gothic" w:cs="Century Gothic" w:eastAsia="Century Gothic" w:hAnsi="Century Gothic"/>
          <w:rtl w:val="0"/>
        </w:rPr>
        <w:t xml:space="preserve">Groups that are systematically excluded from economic, social, and political power due to factors like ethnicity, race, gender, or socioeconomic status (Sustainability Directory). </w:t>
      </w:r>
    </w:p>
    <w:p w:rsidR="00000000" w:rsidDel="00000000" w:rsidP="00000000" w:rsidRDefault="00000000" w:rsidRPr="00000000" w14:paraId="00000017">
      <w:pPr>
        <w:widowControl w:val="0"/>
        <w:spacing w:after="0" w:before="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8">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Criminalization: </w:t>
      </w:r>
      <w:r w:rsidDel="00000000" w:rsidR="00000000" w:rsidRPr="00000000">
        <w:rPr>
          <w:rFonts w:ascii="Century Gothic" w:cs="Century Gothic" w:eastAsia="Century Gothic" w:hAnsi="Century Gothic"/>
          <w:rtl w:val="0"/>
        </w:rPr>
        <w:t xml:space="preserve">A set of processes by which governments or authorities make certain conditions or behaviors illegal through policy or legislation (Aaronson and Shaffer). </w:t>
      </w:r>
    </w:p>
    <w:p w:rsidR="00000000" w:rsidDel="00000000" w:rsidP="00000000" w:rsidRDefault="00000000" w:rsidRPr="00000000" w14:paraId="00000019">
      <w:pPr>
        <w:widowControl w:val="0"/>
        <w:spacing w:after="0" w:before="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A">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Penalization: </w:t>
      </w:r>
      <w:r w:rsidDel="00000000" w:rsidR="00000000" w:rsidRPr="00000000">
        <w:rPr>
          <w:rFonts w:ascii="Century Gothic" w:cs="Century Gothic" w:eastAsia="Century Gothic" w:hAnsi="Century Gothic"/>
          <w:rtl w:val="0"/>
        </w:rPr>
        <w:t xml:space="preserve">An act of imposing a penalty or punishment on someone who has committed a violation or offense (Quandle). </w:t>
      </w:r>
    </w:p>
    <w:p w:rsidR="00000000" w:rsidDel="00000000" w:rsidP="00000000" w:rsidRDefault="00000000" w:rsidRPr="00000000" w14:paraId="0000001B">
      <w:pPr>
        <w:widowControl w:val="0"/>
        <w:spacing w:after="0" w:before="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C">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Rehabilitation: </w:t>
      </w:r>
      <w:r w:rsidDel="00000000" w:rsidR="00000000" w:rsidRPr="00000000">
        <w:rPr>
          <w:rFonts w:ascii="Century Gothic" w:cs="Century Gothic" w:eastAsia="Century Gothic" w:hAnsi="Century Gothic"/>
          <w:rtl w:val="0"/>
        </w:rPr>
        <w:t xml:space="preserve">Efforts within the criminal justice system to reform offenders through education, therapy, job training, and skill-building.  </w:t>
      </w:r>
    </w:p>
    <w:p w:rsidR="00000000" w:rsidDel="00000000" w:rsidP="00000000" w:rsidRDefault="00000000" w:rsidRPr="00000000" w14:paraId="0000001D">
      <w:pPr>
        <w:widowControl w:val="0"/>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  </w:t>
      </w:r>
    </w:p>
    <w:p w:rsidR="00000000" w:rsidDel="00000000" w:rsidP="00000000" w:rsidRDefault="00000000" w:rsidRPr="00000000" w14:paraId="0000001E">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Recidivism: </w:t>
      </w:r>
      <w:r w:rsidDel="00000000" w:rsidR="00000000" w:rsidRPr="00000000">
        <w:rPr>
          <w:rFonts w:ascii="Century Gothic" w:cs="Century Gothic" w:eastAsia="Century Gothic" w:hAnsi="Century Gothic"/>
          <w:rtl w:val="0"/>
        </w:rPr>
        <w:t xml:space="preserve">The tendency for convicted offenders to reoffend or relapse into criminal behavior after their release, intervention, or punishment (National Institute of Justice). </w:t>
      </w:r>
    </w:p>
    <w:p w:rsidR="00000000" w:rsidDel="00000000" w:rsidP="00000000" w:rsidRDefault="00000000" w:rsidRPr="00000000" w14:paraId="0000001F">
      <w:pPr>
        <w:widowControl w:val="0"/>
        <w:spacing w:after="0" w:before="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0">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Petty Crimes: </w:t>
      </w:r>
      <w:r w:rsidDel="00000000" w:rsidR="00000000" w:rsidRPr="00000000">
        <w:rPr>
          <w:rFonts w:ascii="Century Gothic" w:cs="Century Gothic" w:eastAsia="Century Gothic" w:hAnsi="Century Gothic"/>
          <w:rtl w:val="0"/>
        </w:rPr>
        <w:t xml:space="preserve">Crimes that are not considered serious but are still punishable by fine or short-term imprisonment. Examples include speed, minor theft, and public disturbance (Cambridge Dictionary). </w:t>
      </w:r>
    </w:p>
    <w:p w:rsidR="00000000" w:rsidDel="00000000" w:rsidP="00000000" w:rsidRDefault="00000000" w:rsidRPr="00000000" w14:paraId="00000021">
      <w:pPr>
        <w:widowControl w:val="0"/>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 </w:t>
      </w:r>
    </w:p>
    <w:p w:rsidR="00000000" w:rsidDel="00000000" w:rsidP="00000000" w:rsidRDefault="00000000" w:rsidRPr="00000000" w14:paraId="00000022">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Reintegration: </w:t>
      </w:r>
      <w:r w:rsidDel="00000000" w:rsidR="00000000" w:rsidRPr="00000000">
        <w:rPr>
          <w:rFonts w:ascii="Century Gothic" w:cs="Century Gothic" w:eastAsia="Century Gothic" w:hAnsi="Century Gothic"/>
          <w:rtl w:val="0"/>
        </w:rPr>
        <w:t xml:space="preserve">A process of helping individuals who have been incarcerated to return to society and lead productive lives. Help is provided through support systems with social services and job placements. </w:t>
      </w:r>
    </w:p>
    <w:p w:rsidR="00000000" w:rsidDel="00000000" w:rsidP="00000000" w:rsidRDefault="00000000" w:rsidRPr="00000000" w14:paraId="00000023">
      <w:pPr>
        <w:widowControl w:val="0"/>
        <w:spacing w:after="0" w:before="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4">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Disproportionate Impact: </w:t>
      </w:r>
      <w:r w:rsidDel="00000000" w:rsidR="00000000" w:rsidRPr="00000000">
        <w:rPr>
          <w:rFonts w:ascii="Century Gothic" w:cs="Century Gothic" w:eastAsia="Century Gothic" w:hAnsi="Century Gothic"/>
          <w:rtl w:val="0"/>
        </w:rPr>
        <w:t xml:space="preserve">The unequal impact of criminal justice practices, policies, or enforcement on specific groups, such as low-income communities or racial minorities, compared to the general population. </w:t>
      </w:r>
    </w:p>
    <w:p w:rsidR="00000000" w:rsidDel="00000000" w:rsidP="00000000" w:rsidRDefault="00000000" w:rsidRPr="00000000" w14:paraId="00000025">
      <w:pPr>
        <w:widowControl w:val="0"/>
        <w:spacing w:after="0" w:before="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6">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Diversion Programs: </w:t>
      </w:r>
      <w:r w:rsidDel="00000000" w:rsidR="00000000" w:rsidRPr="00000000">
        <w:rPr>
          <w:rFonts w:ascii="Century Gothic" w:cs="Century Gothic" w:eastAsia="Century Gothic" w:hAnsi="Century Gothic"/>
          <w:rtl w:val="0"/>
        </w:rPr>
        <w:t xml:space="preserve">Programs in place that help divert formal criminal proceedings, allowing for the eligible offenders to complete community service or rehabilitation (Shouse). </w:t>
      </w:r>
    </w:p>
    <w:p w:rsidR="00000000" w:rsidDel="00000000" w:rsidP="00000000" w:rsidRDefault="00000000" w:rsidRPr="00000000" w14:paraId="00000027">
      <w:pPr>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8">
      <w:pPr>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9">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0000ff"/>
          <w:rtl w:val="0"/>
        </w:rPr>
        <w:t xml:space="preserve">General Overview</w:t>
      </w:r>
      <w:r w:rsidDel="00000000" w:rsidR="00000000" w:rsidRPr="00000000">
        <w:rPr>
          <w:rtl w:val="0"/>
        </w:rPr>
      </w:r>
    </w:p>
    <w:p w:rsidR="00000000" w:rsidDel="00000000" w:rsidP="00000000" w:rsidRDefault="00000000" w:rsidRPr="00000000" w14:paraId="0000002A">
      <w:pPr>
        <w:widowControl w:val="0"/>
        <w:spacing w:after="0" w:before="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rtl w:val="0"/>
        </w:rPr>
        <w:t xml:space="preserve">Criminalization of Survival-based Offenses </w:t>
      </w:r>
      <w:r w:rsidDel="00000000" w:rsidR="00000000" w:rsidRPr="00000000">
        <w:rPr>
          <w:rtl w:val="0"/>
        </w:rPr>
      </w:r>
    </w:p>
    <w:p w:rsidR="00000000" w:rsidDel="00000000" w:rsidP="00000000" w:rsidRDefault="00000000" w:rsidRPr="00000000" w14:paraId="0000002B">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many countries, survival-based offenses are criminalized through laws that regulate public order and the use of public spaces. As a result, behaviors such as sleeping in public areas, loitering, minor theft, and unregulated street vending are often subject to legal penalties. Although these actions are generally non-violent, under existing legal frameworks, they are still treated as offenses that result in detention or fines. This issue has become increasingly visible in recent years, particularly in urban areas where rising inequality and homelessness force individuals to rely on necessity-driven activities. According to the United Nations Office on Drugs and Crime, many criminal justice systems are now addressing cases that reflect social and economic vulnerability rather than deliberate criminal intent. </w:t>
      </w:r>
    </w:p>
    <w:p w:rsidR="00000000" w:rsidDel="00000000" w:rsidP="00000000" w:rsidRDefault="00000000" w:rsidRPr="00000000" w14:paraId="0000002C">
      <w:pPr>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D">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Causes and Contributing Factors </w:t>
      </w:r>
      <w:r w:rsidDel="00000000" w:rsidR="00000000" w:rsidRPr="00000000">
        <w:rPr>
          <w:rtl w:val="0"/>
        </w:rPr>
      </w:r>
    </w:p>
    <w:p w:rsidR="00000000" w:rsidDel="00000000" w:rsidP="00000000" w:rsidRDefault="00000000" w:rsidRPr="00000000" w14:paraId="0000002E">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These behaviors are largely driven by poverty and limited access to essential resources. Many individuals lack stable housing, a consistent income, and access to sufficient services (like healthcare, education, and social support), leaving them with few alternatives for survival. In addition, gaps in welfare systems often increase vulnerability among marginalized populations, such as the homeless, migrants, and those living in extreme poverty. Without adequate safety nets, individuals are often forced into situations where having to engage in minor, regulated, or informal activities becomes necessary. </w:t>
      </w:r>
    </w:p>
    <w:p w:rsidR="00000000" w:rsidDel="00000000" w:rsidP="00000000" w:rsidRDefault="00000000" w:rsidRPr="00000000" w14:paraId="0000002F">
      <w:pPr>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0">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World Bank highlights that poverty and inequality remain key drivers of informal economic activity, as individuals turn to unregulated work when formal employment is unavailable. Therefore, activities such as street vending or temporary labor became necessary, even though they are frequently restricted or criminalized. These challenges are further reinforced by structural inequalities, including unequal access to education and economic opportunities. Over time, these interconnected factors contribute to a persistent cycle of poverty that increases the likelihood of individuals reengaging in offenses. </w:t>
      </w:r>
    </w:p>
    <w:p w:rsidR="00000000" w:rsidDel="00000000" w:rsidP="00000000" w:rsidRDefault="00000000" w:rsidRPr="00000000" w14:paraId="00000031">
      <w:pPr>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2">
      <w:pPr>
        <w:widowControl w:val="0"/>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Impact on Individuals and Society </w:t>
      </w:r>
    </w:p>
    <w:p w:rsidR="00000000" w:rsidDel="00000000" w:rsidP="00000000" w:rsidRDefault="00000000" w:rsidRPr="00000000" w14:paraId="00000033">
      <w:pPr>
        <w:widowControl w:val="0"/>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The consequences of these practices are significant for both society and individuals. Those penalized for minor, non-violent acts may face fines, detention, or incarceration, all of which can have lasting effects. In many cases, these penalties lead to criminal records, making it more difficult to secure employment, housing, and other essential opportunities. As stated by Amnesty International, criminalizing poverty-related behaviors often traps individuals in cycles of disadvantage and repeated contact with the justice system (Amnesty International). Beyond the individual level, these policies place an additional strain on already overburdened criminal systems, diverting resources away from more serious crimes. At the same time, they reinforce existing inequalities, as marginalized groups are disproportionately affected, raising concerns about fairness and overall effectiveness. </w:t>
      </w:r>
      <w:r w:rsidDel="00000000" w:rsidR="00000000" w:rsidRPr="00000000">
        <w:rPr>
          <w:rtl w:val="0"/>
        </w:rPr>
      </w:r>
    </w:p>
    <w:p w:rsidR="00000000" w:rsidDel="00000000" w:rsidP="00000000" w:rsidRDefault="00000000" w:rsidRPr="00000000" w14:paraId="00000034">
      <w:pPr>
        <w:spacing w:after="0" w:before="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35">
      <w:pPr>
        <w:widowControl w:val="0"/>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Controversy Surrounding the Issue </w:t>
      </w:r>
    </w:p>
    <w:p w:rsidR="00000000" w:rsidDel="00000000" w:rsidP="00000000" w:rsidRDefault="00000000" w:rsidRPr="00000000" w14:paraId="00000036">
      <w:pPr>
        <w:widowControl w:val="0"/>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The issue remains highly controversial within the international community. On one side, some consistently argue that enforcement of laws is necessary to maintain public order and ensure safety in shared spaces. From this perspective, regulating certain behaviors is seen as essential for preventing disorder and protecting public interests. From a different angle, critics contended that penalizing necessity-driven actions is both unjust and ineffective, as it fails to address the root causes of poverty and deepens existing inequalities. As a result, countries adopt different approaches, reflecting ongoing tensions between maintaining order and promoting social justice. </w:t>
      </w:r>
      <w:r w:rsidDel="00000000" w:rsidR="00000000" w:rsidRPr="00000000">
        <w:rPr>
          <w:rtl w:val="0"/>
        </w:rPr>
      </w:r>
    </w:p>
    <w:p w:rsidR="00000000" w:rsidDel="00000000" w:rsidP="00000000" w:rsidRDefault="00000000" w:rsidRPr="00000000" w14:paraId="00000037">
      <w:pPr>
        <w:spacing w:after="0" w:before="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38">
      <w:pPr>
        <w:spacing w:after="0" w:before="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39">
      <w:pPr>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color w:val="0000ff"/>
          <w:rtl w:val="0"/>
        </w:rPr>
        <w:t xml:space="preserve">Major Parties Involved and Their Views</w:t>
      </w:r>
      <w:r w:rsidDel="00000000" w:rsidR="00000000" w:rsidRPr="00000000">
        <w:rPr>
          <w:rtl w:val="0"/>
        </w:rPr>
      </w:r>
    </w:p>
    <w:p w:rsidR="00000000" w:rsidDel="00000000" w:rsidP="00000000" w:rsidRDefault="00000000" w:rsidRPr="00000000" w14:paraId="0000003A">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United States </w:t>
      </w:r>
      <w:r w:rsidDel="00000000" w:rsidR="00000000" w:rsidRPr="00000000">
        <w:rPr>
          <w:rtl w:val="0"/>
        </w:rPr>
      </w:r>
    </w:p>
    <w:p w:rsidR="00000000" w:rsidDel="00000000" w:rsidP="00000000" w:rsidRDefault="00000000" w:rsidRPr="00000000" w14:paraId="0000003B">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States has faced significant challenges regarding the criminalization of survival-based offenses, particularly in relation to homelessness and public order laws. Policies in various cities penalize behaviors such as sleeping in public spaces, loitering, and minor theft, disproportionately affecting low-income and marginalized populations. Some local governments have implemented diversion programs and rehabilitation-focused initiatives, while some others continue to prioritize strict law enforcement approaches, sparking debate over public order versus poverty’s root causes. </w:t>
      </w:r>
    </w:p>
    <w:p w:rsidR="00000000" w:rsidDel="00000000" w:rsidP="00000000" w:rsidRDefault="00000000" w:rsidRPr="00000000" w14:paraId="0000003C">
      <w:pPr>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D">
      <w:pPr>
        <w:widowControl w:val="0"/>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Brazil </w:t>
      </w:r>
    </w:p>
    <w:p w:rsidR="00000000" w:rsidDel="00000000" w:rsidP="00000000" w:rsidRDefault="00000000" w:rsidRPr="00000000" w14:paraId="0000003E">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Brazil experiences high levels of urban poverty, which contributes to the prevalence of survival-based offenses, particularly within densely populated cities. Law enforcement practices have often focused on maintaining public order, sometimes resulting in the criminalization of minor, non-violent behaviors such as informal street vending and loitering. However, Brazil has also explored social programs aimed at reducing inequality and improving access to basic services. </w:t>
      </w:r>
    </w:p>
    <w:p w:rsidR="00000000" w:rsidDel="00000000" w:rsidP="00000000" w:rsidRDefault="00000000" w:rsidRPr="00000000" w14:paraId="0000003F">
      <w:pPr>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0">
      <w:pPr>
        <w:widowControl w:val="0"/>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India </w:t>
      </w:r>
    </w:p>
    <w:p w:rsidR="00000000" w:rsidDel="00000000" w:rsidP="00000000" w:rsidRDefault="00000000" w:rsidRPr="00000000" w14:paraId="00000041">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India faces significant challenges related to survival-based offenses due to its large population and widespread informal economy. Laws regulating street vending, begging, and public space usage have often resulted in the penalization of individuals seeking basic means of survival. While legal reforms, such as protections for street vendors, have been introduced, enforcement remains inconsistent across regions. </w:t>
      </w:r>
    </w:p>
    <w:p w:rsidR="00000000" w:rsidDel="00000000" w:rsidP="00000000" w:rsidRDefault="00000000" w:rsidRPr="00000000" w14:paraId="00000042">
      <w:pPr>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3">
      <w:pPr>
        <w:widowControl w:val="0"/>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South Africa </w:t>
      </w:r>
    </w:p>
    <w:p w:rsidR="00000000" w:rsidDel="00000000" w:rsidP="00000000" w:rsidRDefault="00000000" w:rsidRPr="00000000" w14:paraId="00000044">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South Africa continues to experience high levels of inequality rooted in its historical legacy, which contributes to the prevalence of survival-based offenses among marginalized communities. Law enforcement has at times focused on regulating public spaces, leading to the criminalization of behaviors such as loitering and informal economic activity. At the same time, the government has implemented social welfare programs aimed at reducing poverty and inequality.  </w:t>
      </w:r>
    </w:p>
    <w:p w:rsidR="00000000" w:rsidDel="00000000" w:rsidP="00000000" w:rsidRDefault="00000000" w:rsidRPr="00000000" w14:paraId="00000045">
      <w:pPr>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6">
      <w:pPr>
        <w:widowControl w:val="0"/>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France </w:t>
      </w:r>
    </w:p>
    <w:p w:rsidR="00000000" w:rsidDel="00000000" w:rsidP="00000000" w:rsidRDefault="00000000" w:rsidRPr="00000000" w14:paraId="00000047">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France has faced ongoing debates regarding the treatment of marginalized populations, particularly migrants and individuals experiencing homelessness, in relation to public order laws. Certain policies regulating public spaces have resulted in the penalization of behaviors associated with survival, such as sleeping in public or informal economic activities. At the same time, France places a strong emphasis on human rights and social protections, leading to the development of welfare programs and support services. </w:t>
      </w:r>
    </w:p>
    <w:p w:rsidR="00000000" w:rsidDel="00000000" w:rsidP="00000000" w:rsidRDefault="00000000" w:rsidRPr="00000000" w14:paraId="00000048">
      <w:pPr>
        <w:widowControl w:val="0"/>
        <w:spacing w:after="0" w:before="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9">
      <w:pPr>
        <w:widowControl w:val="0"/>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Philippines </w:t>
      </w:r>
    </w:p>
    <w:p w:rsidR="00000000" w:rsidDel="00000000" w:rsidP="00000000" w:rsidRDefault="00000000" w:rsidRPr="00000000" w14:paraId="0000004A">
      <w:pPr>
        <w:spacing w:after="0" w:before="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Philippines has adopted strict law enforcement approaches toward public order offenses, which have resulted in the criminalization of survival-based behaviors among low-income populations. Policies targeting minor offenses have disproportionately affected individuals living in poverty, particularly in urban areas. While these measures are often justified as necessary for maintaining order and safety, they have raised concerns regarding human rights and disproportionate punishment. </w:t>
      </w:r>
    </w:p>
    <w:p w:rsidR="00000000" w:rsidDel="00000000" w:rsidP="00000000" w:rsidRDefault="00000000" w:rsidRPr="00000000" w14:paraId="0000004B">
      <w:pPr>
        <w:pageBreakBefore w:val="0"/>
        <w:widowControl w:val="0"/>
        <w:spacing w:after="0" w:before="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4C">
      <w:pPr>
        <w:pageBreakBefore w:val="0"/>
        <w:widowControl w:val="0"/>
        <w:spacing w:after="0" w:before="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4D">
      <w:pPr>
        <w:pageBreakBefore w:val="0"/>
        <w:widowControl w:val="0"/>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color w:val="0000ff"/>
          <w:rtl w:val="0"/>
        </w:rPr>
        <w:t xml:space="preserve">Timeline of Events, Relevant Resolutions, Treaties, and Events</w:t>
      </w:r>
      <w:r w:rsidDel="00000000" w:rsidR="00000000" w:rsidRPr="00000000">
        <w:rPr>
          <w:rtl w:val="0"/>
        </w:rPr>
      </w:r>
    </w:p>
    <w:tbl>
      <w:tblPr>
        <w:tblStyle w:val="Table1"/>
        <w:tblpPr w:leftFromText="180" w:rightFromText="180" w:topFromText="180" w:bottomFromText="180" w:vertAnchor="text" w:horzAnchor="text" w:tblpX="0" w:tblpY="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95"/>
        <w:gridCol w:w="7065"/>
        <w:tblGridChange w:id="0">
          <w:tblGrid>
            <w:gridCol w:w="2295"/>
            <w:gridCol w:w="7065"/>
          </w:tblGrid>
        </w:tblGridChange>
      </w:tblGrid>
      <w:tr>
        <w:trPr>
          <w:cantSplit w:val="0"/>
          <w:trHeight w:val="100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E">
            <w:pPr>
              <w:widowControl w:val="0"/>
              <w:spacing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Date </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F">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Description of Event</w:t>
            </w:r>
          </w:p>
        </w:tc>
      </w:tr>
      <w:tr>
        <w:trPr>
          <w:cantSplit w:val="0"/>
          <w:trHeight w:val="100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0">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1948</w:t>
            </w:r>
          </w:p>
          <w:p w:rsidR="00000000" w:rsidDel="00000000" w:rsidP="00000000" w:rsidRDefault="00000000" w:rsidRPr="00000000" w14:paraId="00000051">
            <w:pPr>
              <w:widowControl w:val="0"/>
              <w:spacing w:line="360" w:lineRule="auto"/>
              <w:jc w:val="center"/>
              <w:rPr>
                <w:rFonts w:ascii="Century Gothic" w:cs="Century Gothic" w:eastAsia="Century Gothic" w:hAnsi="Century Gothic"/>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2">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(UN) adopted the Universal Declaration of Human Rights, establishing fundamental rights related to human equality, dignity, housing, and an adequate standard of living. These principles later became central to debates around poverty and the treatment of marginalized communities within criminal justice systems (United Nations). </w:t>
            </w:r>
          </w:p>
        </w:tc>
      </w:tr>
      <w:tr>
        <w:trPr>
          <w:cantSplit w:val="0"/>
          <w:trHeight w:val="109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3">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1966</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4">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International Covenant on Economic, Social, and Cultural Rights was adopted by the UN. The treaty recognizes rights such as work, housing, social security, and standard living conditions, all of which are closely connected to the issue (“International Covenant on Economic, Social and Cultural Rights - Main Page”).  </w:t>
            </w:r>
          </w:p>
          <w:p w:rsidR="00000000" w:rsidDel="00000000" w:rsidP="00000000" w:rsidRDefault="00000000" w:rsidRPr="00000000" w14:paraId="00000055">
            <w:pPr>
              <w:widowControl w:val="0"/>
              <w:spacing w:line="360" w:lineRule="auto"/>
              <w:jc w:val="both"/>
              <w:rPr>
                <w:rFonts w:ascii="Century Gothic" w:cs="Century Gothic" w:eastAsia="Century Gothic" w:hAnsi="Century Gothic"/>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6">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1979</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7">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adopts the Convention on the Elimination of All Forms of Discrimination Against Women (CEDAW), highlighting the disproportionate impact poverty and economic marginalization can have on women, particularly in relation to vulnerability within legal systems (“Convention on the Elimination of All Forms of Discrimination against Women | UN”).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8">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1990s</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9">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Rising homelessness and rapid urbanization in many countries lead to an expansion of enforcement of public order laws targeting behaviors like loitering, public sleeping, begging, and informal street vending. This period marked a significant increase in debates surrounding the criminalization of poverty.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A">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2008</w:t>
            </w:r>
          </w:p>
        </w:tc>
        <w:tc>
          <w:tcPr>
            <w:tcBorders>
              <w:top w:color="ffffff" w:space="0" w:sz="8" w:val="single"/>
              <w:left w:color="ffffff" w:space="0" w:sz="8" w:val="single"/>
              <w:bottom w:color="ffffff" w:space="0" w:sz="4" w:val="single"/>
              <w:right w:color="ffffff" w:space="0" w:sz="8" w:val="single"/>
            </w:tcBorders>
          </w:tcPr>
          <w:p w:rsidR="00000000" w:rsidDel="00000000" w:rsidP="00000000" w:rsidRDefault="00000000" w:rsidRPr="00000000" w14:paraId="0000005B">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global financial crisis led to increased unemployment, housing insecurity, and economic instability worldwide. As poverty levels rise, concerns grow regarding the treatment of vulnerable populations and the criminalization of necessity-driven behaviors (“The Global Financial Crisis”). </w:t>
            </w:r>
          </w:p>
          <w:p w:rsidR="00000000" w:rsidDel="00000000" w:rsidP="00000000" w:rsidRDefault="00000000" w:rsidRPr="00000000" w14:paraId="0000005C">
            <w:pPr>
              <w:widowControl w:val="0"/>
              <w:spacing w:line="360" w:lineRule="auto"/>
              <w:jc w:val="both"/>
              <w:rPr>
                <w:rFonts w:ascii="Century Gothic" w:cs="Century Gothic" w:eastAsia="Century Gothic" w:hAnsi="Century Gothic"/>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4" w:val="single"/>
            </w:tcBorders>
          </w:tcPr>
          <w:p w:rsidR="00000000" w:rsidDel="00000000" w:rsidP="00000000" w:rsidRDefault="00000000" w:rsidRPr="00000000" w14:paraId="0000005D">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2017</w:t>
            </w:r>
          </w:p>
        </w:tc>
        <w:tc>
          <w:tcPr>
            <w:tcBorders>
              <w:top w:color="ffffff" w:space="0" w:sz="4" w:val="single"/>
              <w:left w:color="ffffff" w:space="0" w:sz="4" w:val="single"/>
              <w:bottom w:color="ffffff" w:space="0" w:sz="4" w:val="single"/>
              <w:right w:color="ffffff" w:space="0" w:sz="4" w:val="single"/>
            </w:tcBorders>
            <w:vAlign w:val="center"/>
          </w:tcPr>
          <w:p w:rsidR="00000000" w:rsidDel="00000000" w:rsidP="00000000" w:rsidRDefault="00000000" w:rsidRPr="00000000" w14:paraId="0000005E">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Amnesty International publishes reports criticizing the criminalization of homelessness and poverty-related behaviors in multiple countries, increasing international attention on the issue and its human rights implications </w:t>
            </w:r>
          </w:p>
        </w:tc>
      </w:tr>
      <w:tr>
        <w:trPr>
          <w:cantSplit w:val="0"/>
          <w:tblHeader w:val="0"/>
        </w:trPr>
        <w:tc>
          <w:tcPr>
            <w:tcBorders>
              <w:top w:color="ffffff" w:space="0" w:sz="8" w:val="single"/>
              <w:left w:color="ffffff" w:space="0" w:sz="8" w:val="single"/>
              <w:bottom w:color="ffffff" w:space="0" w:sz="8" w:val="single"/>
              <w:right w:color="ffffff" w:space="0" w:sz="4" w:val="single"/>
            </w:tcBorders>
          </w:tcPr>
          <w:p w:rsidR="00000000" w:rsidDel="00000000" w:rsidP="00000000" w:rsidRDefault="00000000" w:rsidRPr="00000000" w14:paraId="0000005F">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2018</w:t>
            </w:r>
          </w:p>
        </w:tc>
        <w:tc>
          <w:tcPr>
            <w:tcBorders>
              <w:top w:color="ffffff" w:space="0" w:sz="4" w:val="single"/>
              <w:left w:color="ffffff" w:space="0" w:sz="4" w:val="single"/>
              <w:bottom w:color="ffffff" w:space="0" w:sz="4" w:val="single"/>
              <w:right w:color="ffffff" w:space="0" w:sz="4" w:val="single"/>
            </w:tcBorders>
            <w:vAlign w:val="center"/>
          </w:tcPr>
          <w:p w:rsidR="00000000" w:rsidDel="00000000" w:rsidP="00000000" w:rsidRDefault="00000000" w:rsidRPr="00000000" w14:paraId="00000060">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Rights Council's special reports on extreme poverty and human rights warn that many governments are increasingly punishing individuals for poverty-related behaviors instead of addressing structural inequalities. </w:t>
            </w:r>
          </w:p>
        </w:tc>
      </w:tr>
      <w:tr>
        <w:trPr>
          <w:cantSplit w:val="0"/>
          <w:tblHeader w:val="0"/>
        </w:trPr>
        <w:tc>
          <w:tcPr>
            <w:tcBorders>
              <w:top w:color="ffffff" w:space="0" w:sz="8" w:val="single"/>
              <w:left w:color="ffffff" w:space="0" w:sz="8" w:val="single"/>
              <w:bottom w:color="ffffff" w:space="0" w:sz="8" w:val="single"/>
              <w:right w:color="ffffff" w:space="0" w:sz="4" w:val="single"/>
            </w:tcBorders>
          </w:tcPr>
          <w:p w:rsidR="00000000" w:rsidDel="00000000" w:rsidP="00000000" w:rsidRDefault="00000000" w:rsidRPr="00000000" w14:paraId="00000061">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2020</w:t>
            </w:r>
          </w:p>
        </w:tc>
        <w:tc>
          <w:tcPr>
            <w:tcBorders>
              <w:top w:color="ffffff" w:space="0" w:sz="4" w:val="single"/>
              <w:left w:color="ffffff" w:space="0" w:sz="4" w:val="single"/>
              <w:bottom w:color="ffffff" w:space="0" w:sz="4" w:val="single"/>
              <w:right w:color="ffffff" w:space="0" w:sz="4" w:val="single"/>
            </w:tcBorders>
            <w:vAlign w:val="center"/>
          </w:tcPr>
          <w:p w:rsidR="00000000" w:rsidDel="00000000" w:rsidP="00000000" w:rsidRDefault="00000000" w:rsidRPr="00000000" w14:paraId="00000062">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COVID-19 pandemic intensifies poverty, unemployment, and housing insecurity worldwide. Lockdowns and economic disruption increase concerns regarding homelessness, informal work, and the treatment of vulnerable populations within criminal justice systems (Bernstein). </w:t>
            </w:r>
          </w:p>
        </w:tc>
      </w:tr>
      <w:tr>
        <w:trPr>
          <w:cantSplit w:val="0"/>
          <w:tblHeader w:val="0"/>
        </w:trPr>
        <w:tc>
          <w:tcPr>
            <w:tcBorders>
              <w:top w:color="ffffff" w:space="0" w:sz="8" w:val="single"/>
              <w:left w:color="ffffff" w:space="0" w:sz="8" w:val="single"/>
              <w:bottom w:color="ffffff" w:space="0" w:sz="8" w:val="single"/>
              <w:right w:color="ffffff" w:space="0" w:sz="4" w:val="single"/>
            </w:tcBorders>
          </w:tcPr>
          <w:p w:rsidR="00000000" w:rsidDel="00000000" w:rsidP="00000000" w:rsidRDefault="00000000" w:rsidRPr="00000000" w14:paraId="00000063">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2021</w:t>
            </w:r>
          </w:p>
        </w:tc>
        <w:tc>
          <w:tcPr>
            <w:tcBorders>
              <w:top w:color="ffffff" w:space="0" w:sz="4" w:val="single"/>
              <w:left w:color="ffffff" w:space="0" w:sz="4" w:val="single"/>
              <w:bottom w:color="ffffff" w:space="0" w:sz="4" w:val="single"/>
              <w:right w:color="ffffff" w:space="0" w:sz="4" w:val="single"/>
            </w:tcBorders>
            <w:vAlign w:val="center"/>
          </w:tcPr>
          <w:p w:rsidR="00000000" w:rsidDel="00000000" w:rsidP="00000000" w:rsidRDefault="00000000" w:rsidRPr="00000000" w14:paraId="00000064">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Several human rights organizations report that marginalized communities were disproportionately impacted by pandemic-related enforcement measures, further raising concerns about discrimination and over-policing. </w:t>
            </w:r>
          </w:p>
        </w:tc>
      </w:tr>
    </w:tbl>
    <w:p w:rsidR="00000000" w:rsidDel="00000000" w:rsidP="00000000" w:rsidRDefault="00000000" w:rsidRPr="00000000" w14:paraId="00000065">
      <w:pPr>
        <w:pageBreakBefore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0000ff"/>
          <w:rtl w:val="0"/>
        </w:rPr>
        <w:t xml:space="preserve">United Nations Involvement</w:t>
      </w:r>
      <w:r w:rsidDel="00000000" w:rsidR="00000000" w:rsidRPr="00000000">
        <w:rPr>
          <w:rtl w:val="0"/>
        </w:rPr>
      </w:r>
    </w:p>
    <w:p w:rsidR="00000000" w:rsidDel="00000000" w:rsidP="00000000" w:rsidRDefault="00000000" w:rsidRPr="00000000" w14:paraId="00000066">
      <w:pPr>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has played an important role in addressing issues connected to inequality, poverty, human rights, and criminal justice reform. Although there isn’t </w:t>
      </w:r>
      <w:r w:rsidDel="00000000" w:rsidR="00000000" w:rsidRPr="00000000">
        <w:rPr>
          <w:rFonts w:ascii="Century Gothic" w:cs="Century Gothic" w:eastAsia="Century Gothic" w:hAnsi="Century Gothic"/>
          <w:rtl w:val="0"/>
        </w:rPr>
        <w:t xml:space="preserve">a</w:t>
      </w:r>
      <w:r w:rsidDel="00000000" w:rsidR="00000000" w:rsidRPr="00000000">
        <w:rPr>
          <w:rFonts w:ascii="Century Gothic" w:cs="Century Gothic" w:eastAsia="Century Gothic" w:hAnsi="Century Gothic"/>
          <w:rtl w:val="0"/>
        </w:rPr>
        <w:t xml:space="preserve"> singular United Nations treaty focused solely on survival-based offenses, multiple UN bodies and frameworks have addressed the broader social and economic conditions that contribute to these behaviors. Through human rights conventions, development goals, and reports from specialized agencies, the United Nations has consistently put emphasis on the importance of protecting vulnerable populations and reducing systemic inequalities. </w:t>
      </w:r>
    </w:p>
    <w:p w:rsidR="00000000" w:rsidDel="00000000" w:rsidP="00000000" w:rsidRDefault="00000000" w:rsidRPr="00000000" w14:paraId="00000067">
      <w:pPr>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8">
      <w:pPr>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One of the most significant international frameworks connected to this issue is the Universal Declaration of Human Rights, adopted in 1948 (United Nations), which recognizes rights related to human dignity, equality, housing, and an adequate standard of living. Similarly, the International Covenant on Economic, Social, and Cultural Rights reinforces the importance of rights such as work, social security, and adequate living conditions, all of which are closely linked to the root causes of survival-based offenses. These arguments provide an international human rights foundation for discussion regarding the treatment of marginalized populations within the criminal justice systems (United Nations, “International Covenant on Economic, Social, and Cultural Rights”)</w:t>
      </w: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69">
      <w:pPr>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A">
      <w:pPr>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Additionally, the United Nations Human Rights Council has repeatedly raised concerns regarding laws that disproportionately affect individuals experiencing poverty and homelessness. Reports presented to the Human Rights Council have criticized approaches that rely heavily on punishment rather than addressing structural socioeconomic inequalities. These reports emphasize that criminalizing necessity-driven behaviors may worsen social exclusion and reinforce cycles of poverty. </w:t>
      </w:r>
    </w:p>
    <w:p w:rsidR="00000000" w:rsidDel="00000000" w:rsidP="00000000" w:rsidRDefault="00000000" w:rsidRPr="00000000" w14:paraId="0000006B">
      <w:pPr>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C">
      <w:pPr>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Office on Drugs and Crime has also contributed to discussions surrounding criminal justice reform, rehabilitation, and fair treatment within legal systems. Through its work on crime prevention and justice reform, UNODC promotes approaches focused on fairness and reducing overcrowding inside prisons (“UNODC Prison Reform”). In addition, the adoption of the Sustainable Development Goals further highlighted international commitments to reducing poverty and inequality and promoting inclusive societies. Together, these initiatives demonstrate the United Nations’ efforts to address the social and economic conditions that contribute to marginalization and unequal treatment within criminal justice systems. </w:t>
      </w:r>
    </w:p>
    <w:p w:rsidR="00000000" w:rsidDel="00000000" w:rsidP="00000000" w:rsidRDefault="00000000" w:rsidRPr="00000000" w14:paraId="0000006D">
      <w:pPr>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E">
      <w:pPr>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F">
      <w:pPr>
        <w:pageBreakBefore w:val="0"/>
        <w:spacing w:after="0" w:before="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Evaluation of Previous Attempts to Resolve the Issue</w:t>
      </w:r>
      <w:r w:rsidDel="00000000" w:rsidR="00000000" w:rsidRPr="00000000">
        <w:rPr>
          <w:rtl w:val="0"/>
        </w:rPr>
      </w:r>
    </w:p>
    <w:p w:rsidR="00000000" w:rsidDel="00000000" w:rsidP="00000000" w:rsidRDefault="00000000" w:rsidRPr="00000000" w14:paraId="00000070">
      <w:pPr>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Universal Declaration of Human Rights (1948)</w:t>
      </w:r>
    </w:p>
    <w:p w:rsidR="00000000" w:rsidDel="00000000" w:rsidP="00000000" w:rsidRDefault="00000000" w:rsidRPr="00000000" w14:paraId="00000071">
      <w:pPr>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One of the first international frameworks that is connected to this issue was the Universal Declaration of Human Rights, adopted by the United Nations in 1948. The declaration established fundamental rights related to human equality, dignity, housing, social security, and adequate standard of living. Although the declaration wasn’t created specifically in order to address survival-based offenses, many of its principles are directly connected to the treatment of marginalized communities within criminal justice systems. It helped create an international human rights foundation, which later influenced discussions regarding poverty, homelessness, discrimination, and equal treatment under the law.</w:t>
      </w:r>
    </w:p>
    <w:p w:rsidR="00000000" w:rsidDel="00000000" w:rsidP="00000000" w:rsidRDefault="00000000" w:rsidRPr="00000000" w14:paraId="00000072">
      <w:pPr>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3">
      <w:pPr>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Although it had a global influence, the Universal Declaration of Human Rights isn’t a legally binding document, limiting its enforcement capabilities. While it has shaped national constitutions, international agreements, and human rights standards, many countries continuously implement policies that criminalize poverty-related behaviors. As a result, critics argue that although the declaration successfully established important principles, it has not been sufficient in preventing the disproportionate criminalization of vulnerable populations. </w:t>
      </w:r>
    </w:p>
    <w:p w:rsidR="00000000" w:rsidDel="00000000" w:rsidP="00000000" w:rsidRDefault="00000000" w:rsidRPr="00000000" w14:paraId="00000074">
      <w:pPr>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5">
      <w:pPr>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Social Welfare and Poverty Reduction Programs </w:t>
      </w:r>
    </w:p>
    <w:p w:rsidR="00000000" w:rsidDel="00000000" w:rsidP="00000000" w:rsidRDefault="00000000" w:rsidRPr="00000000" w14:paraId="00000076">
      <w:pPr>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Governments and international organizations have also attempted to address the issue through poverty reduction initiatives and expanded social welfare programs. Increased access to food assistance, shelters, healthcare, education, and employment opportunities has been seen as a way to reduce the economic burdens that contribute to survival-based offenses. In some countries, housing-first policies have been introduced, which prioritize stable housing as a foundation for improving access to employment, healthcare, and rehabilitation services. These approaches have shown various positive outcomes in reducing homelessness and lowering rates of repeated criminal justice involvement among vulnerable populations. </w:t>
      </w:r>
    </w:p>
    <w:p w:rsidR="00000000" w:rsidDel="00000000" w:rsidP="00000000" w:rsidRDefault="00000000" w:rsidRPr="00000000" w14:paraId="00000077">
      <w:pPr>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Despite these efforts, significant challenges persist. Many welfare programs continue to suffer from overcrowding, limited funding, and unequal accessibility, particularly in developing countries or densely populated urban areas. To add on, rising living costs, housing shortages, and unemployment have often outpaced expansions of support services. Ultimately, many marginalized individuals continue to rely on informal or criminalized activities to survive. It’s also noted that short-term assistance programs may provide temporary relief without addressing deeper structural inequalities such as unequal access to education, discrimination, and economic instability. </w:t>
      </w:r>
    </w:p>
    <w:p w:rsidR="00000000" w:rsidDel="00000000" w:rsidP="00000000" w:rsidRDefault="00000000" w:rsidRPr="00000000" w14:paraId="00000078">
      <w:pPr>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9">
      <w:pPr>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Human Rights Council Reports and Recommendations </w:t>
      </w:r>
    </w:p>
    <w:p w:rsidR="00000000" w:rsidDel="00000000" w:rsidP="00000000" w:rsidRDefault="00000000" w:rsidRPr="00000000" w14:paraId="0000007A">
      <w:pPr>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Human Rights Council and the Special Rapporteur on Extreme Poverty and Human Rights have also made several attempts to address issues connected to the criminalization of poverty and survival-based offenses through recommendations, reports, and international advocacy. These reports have criticized laws targeting homelessness, begging, and other poverty-related behaviors while encouraging governments to adopt an approach more focused on rehabilitation, reintegration, and public/social support rather than punishment. In addition, they have emphasized the importance of understanding structural inequalities like a lack of affordable housing, unemployment, and limited access to education and healthcare. These efforts have been important in increasing global awareness and encouraging broader discussions regarding the topics of fairness, discrimination, and proportionality within criminal justice systems.</w:t>
      </w:r>
    </w:p>
    <w:p w:rsidR="00000000" w:rsidDel="00000000" w:rsidP="00000000" w:rsidRDefault="00000000" w:rsidRPr="00000000" w14:paraId="0000007B">
      <w:pPr>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C">
      <w:pPr>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However, the effectiveness of these initiatives has remained limited in various cases. Since the recommendations made by the Human Rights Council and Special Rapporteurs are not legally binding, governments are not required to implement these proposed reforms. Political disagreements, limited financial resources, and concerns regarding public order have slowed progress in multiple countries. As a result, while these reports have helped gain international attention towards the issue and influenced some policy discussions, many governments continue to rely heavily on a punitive approach towards survival-based offenses. </w:t>
      </w:r>
      <w:r w:rsidDel="00000000" w:rsidR="00000000" w:rsidRPr="00000000">
        <w:rPr>
          <w:rFonts w:ascii="Century Gothic" w:cs="Century Gothic" w:eastAsia="Century Gothic" w:hAnsi="Century Gothic"/>
          <w:b w:val="1"/>
          <w:bCs w:val="1"/>
          <w:rtl w:val="0"/>
        </w:rPr>
        <w:t xml:space="preserve"> </w:t>
      </w:r>
      <w:r w:rsidDel="00000000" w:rsidR="00000000" w:rsidRPr="00000000">
        <w:rPr>
          <w:rtl w:val="0"/>
        </w:rPr>
      </w:r>
    </w:p>
    <w:p w:rsidR="00000000" w:rsidDel="00000000" w:rsidP="00000000" w:rsidRDefault="00000000" w:rsidRPr="00000000" w14:paraId="0000007D">
      <w:pPr>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E">
      <w:pPr>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color w:val="0000ff"/>
          <w:rtl w:val="0"/>
        </w:rPr>
        <w:t xml:space="preserve">Possible Solutions</w:t>
      </w:r>
      <w:r w:rsidDel="00000000" w:rsidR="00000000" w:rsidRPr="00000000">
        <w:rPr>
          <w:rtl w:val="0"/>
        </w:rPr>
      </w:r>
    </w:p>
    <w:p w:rsidR="00000000" w:rsidDel="00000000" w:rsidP="00000000" w:rsidRDefault="00000000" w:rsidRPr="00000000" w14:paraId="0000007F">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Expanding Social Welfare and Preventive Support Systems </w:t>
      </w:r>
      <w:r w:rsidDel="00000000" w:rsidR="00000000" w:rsidRPr="00000000">
        <w:rPr>
          <w:rFonts w:ascii="Century Gothic" w:cs="Century Gothic" w:eastAsia="Century Gothic" w:hAnsi="Century Gothic"/>
          <w:b w:val="1"/>
          <w:bCs w:val="1"/>
          <w:rtl w:val="0"/>
        </w:rPr>
        <w:t xml:space="preserve"> </w:t>
      </w:r>
      <w:r w:rsidDel="00000000" w:rsidR="00000000" w:rsidRPr="00000000">
        <w:rPr>
          <w:rtl w:val="0"/>
        </w:rPr>
      </w:r>
    </w:p>
    <w:p w:rsidR="00000000" w:rsidDel="00000000" w:rsidP="00000000" w:rsidRDefault="00000000" w:rsidRPr="00000000" w14:paraId="00000080">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One possible solution is to increase investment in preventive support systems and social welfare programs that address the root causes of survival-based offenses. Many individuals engage in necessity-driven behaviors due to homelessness, unemployment, poverty, or lack of access to education and healthcare. Expanding affordable housing initiatives, shelters, mental health services, food assistance programs, and employment opportunities could reduce the likelihood of vulnerable populations resorting to criminalized activities for survival. Many experts argue that preventative approaches are more effective in reducing long-term criminal justice involvement than punitive measures alone. </w:t>
      </w:r>
    </w:p>
    <w:p w:rsidR="00000000" w:rsidDel="00000000" w:rsidP="00000000" w:rsidRDefault="00000000" w:rsidRPr="00000000" w14:paraId="00000081">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2">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Strengthening Diversion and Rehabilitation Programs </w:t>
      </w:r>
      <w:r w:rsidDel="00000000" w:rsidR="00000000" w:rsidRPr="00000000">
        <w:rPr>
          <w:rtl w:val="0"/>
        </w:rPr>
      </w:r>
    </w:p>
    <w:p w:rsidR="00000000" w:rsidDel="00000000" w:rsidP="00000000" w:rsidRDefault="00000000" w:rsidRPr="00000000" w14:paraId="00000083">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second possible solution is the expansion of diversion programs for individuals accused of minor,  non-violent offenses connected to survival. Rather than relying primarily on incarceration or financial penalties, governments could redirect individuals toward rehabilitation services, counseling, community-based support programs, or vocational training programs (Justice Reform Foundation)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Century Gothic" w:cs="Century Gothic" w:eastAsia="Century Gothic" w:hAnsi="Century Gothic"/>
          <w:rtl w:val="0"/>
        </w:rPr>
        <w:t xml:space="preserve">These alternatives could help reduce prison overcrowding, lower recidivism rates, and improve reintegration into society (“Alternatives to Imprisonment”). To add on, rehabilitation-focused approaches may allow for criminal justice systems to allocate greater resources towards addressing more serious crimes. </w:t>
      </w:r>
    </w:p>
    <w:p w:rsidR="00000000" w:rsidDel="00000000" w:rsidP="00000000" w:rsidRDefault="00000000" w:rsidRPr="00000000" w14:paraId="00000084">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5">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Reforming Public Order Laws and Enforcement Practices </w:t>
      </w:r>
      <w:r w:rsidDel="00000000" w:rsidR="00000000" w:rsidRPr="00000000">
        <w:rPr>
          <w:rtl w:val="0"/>
        </w:rPr>
      </w:r>
    </w:p>
    <w:p w:rsidR="00000000" w:rsidDel="00000000" w:rsidP="00000000" w:rsidRDefault="00000000" w:rsidRPr="00000000" w14:paraId="00000086">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Governments may also consider reviewing public order laws and enforcement practices that disproportionately affect marginalized groups. Some countries and municipalities have explored reducing penalties for behaviors closely linked to survival, such as begging, public sleeping, or informal economic activity, while increasing access to social services instead of detention. Advocates of reform argue that reassessing proportionality within legal systems could help reduce discrimination and unequal treatment while still maintaining public safety and social order. At the same time, supporters emphasize that reforms should balance human rights protections with the responsibility of governments to ensure safe and functional public spaces.  </w:t>
      </w:r>
    </w:p>
    <w:p w:rsidR="00000000" w:rsidDel="00000000" w:rsidP="00000000" w:rsidRDefault="00000000" w:rsidRPr="00000000" w14:paraId="00000087">
      <w:pPr>
        <w:pageBreakBefore w:val="0"/>
        <w:spacing w:after="0" w:before="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88">
      <w:pPr>
        <w:pageBreakBefore w:val="0"/>
        <w:spacing w:after="0" w:before="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89">
      <w:pPr>
        <w:pageBreakBefore w:val="0"/>
        <w:spacing w:after="0" w:before="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Sustainable Development Goal (SDG)</w:t>
      </w:r>
    </w:p>
    <w:p w:rsidR="00000000" w:rsidDel="00000000" w:rsidP="00000000" w:rsidRDefault="00000000" w:rsidRPr="00000000" w14:paraId="0000008A">
      <w:pPr>
        <w:spacing w:after="0" w:before="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rtl w:val="0"/>
        </w:rPr>
        <w:t xml:space="preserve">This issue is most closely related to Sustainable Development Goal #16: Peace, Justice, and Strong Institutions, which is focused on promoting inclusive, accountable, and fair legal systems. The criminalization of survival-based offenses raises significant concerns regarding equality before the law, access to justice, and proportionality of punishment, particularly for marginalized communities. Individuals who experience homelessness, poverty, or economic insecurity are often disproportionately affected by policies that penalize necessity-driven behaviors, which increase their likelihood of repeated interactions with criminal justice systems. This often contributes to cycles of social exclusion, poverty, and mistrust between vulnerable populations and law enforcement authorities. SDG 16 emphasizes the importance of ensuring that justice systems operate effectively and fairly while protecting human rights and reducing discrimination. In this context, addressing the criminalization of survival-based offenses is essential for promoting more inclusive institutions and strengthening public confidence in legal systems. </w:t>
      </w:r>
      <w:r w:rsidDel="00000000" w:rsidR="00000000" w:rsidRPr="00000000">
        <w:rPr>
          <w:rtl w:val="0"/>
        </w:rPr>
      </w:r>
    </w:p>
    <w:p w:rsidR="00000000" w:rsidDel="00000000" w:rsidP="00000000" w:rsidRDefault="00000000" w:rsidRPr="00000000" w14:paraId="0000008B">
      <w:pPr>
        <w:pageBreakBefore w:val="0"/>
        <w:widowControl w:val="0"/>
        <w:spacing w:after="0" w:before="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8C">
      <w:pPr>
        <w:pageBreakBefore w:val="0"/>
        <w:widowControl w:val="0"/>
        <w:spacing w:after="0" w:before="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8D">
      <w:pPr>
        <w:pageBreakBefore w:val="0"/>
        <w:widowControl w:val="0"/>
        <w:spacing w:after="0" w:before="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Appendix</w:t>
      </w:r>
    </w:p>
    <w:p w:rsidR="00000000" w:rsidDel="00000000" w:rsidP="00000000" w:rsidRDefault="00000000" w:rsidRPr="00000000" w14:paraId="0000008E">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section of the issue bulletin is dedicated to providing delegates with valuable sources to utilize during their research. </w:t>
      </w:r>
    </w:p>
    <w:p w:rsidR="00000000" w:rsidDel="00000000" w:rsidP="00000000" w:rsidRDefault="00000000" w:rsidRPr="00000000" w14:paraId="0000008F">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0">
      <w:pPr>
        <w:spacing w:line="360" w:lineRule="auto"/>
        <w:jc w:val="both"/>
        <w:rPr>
          <w:rFonts w:ascii="Century Gothic" w:cs="Century Gothic" w:eastAsia="Century Gothic" w:hAnsi="Century Gothic"/>
        </w:rPr>
      </w:pPr>
      <w:hyperlink r:id="rId8">
        <w:r w:rsidDel="00000000" w:rsidR="00000000" w:rsidRPr="00000000">
          <w:rPr>
            <w:rFonts w:ascii="Century Gothic" w:cs="Century Gothic" w:eastAsia="Century Gothic" w:hAnsi="Century Gothic"/>
            <w:color w:val="1155cc"/>
            <w:u w:val="single"/>
            <w:rtl w:val="0"/>
          </w:rPr>
          <w:t xml:space="preserve">https://www.vera.org/news/how-the-united-states-punishes-people-for-being-poor</w:t>
        </w:r>
      </w:hyperlink>
      <w:r w:rsidDel="00000000" w:rsidR="00000000" w:rsidRPr="00000000">
        <w:rPr>
          <w:rtl w:val="0"/>
        </w:rPr>
      </w:r>
    </w:p>
    <w:p w:rsidR="00000000" w:rsidDel="00000000" w:rsidP="00000000" w:rsidRDefault="00000000" w:rsidRPr="00000000" w14:paraId="00000091">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A:</w:t>
      </w:r>
      <w:r w:rsidDel="00000000" w:rsidR="00000000" w:rsidRPr="00000000">
        <w:rPr>
          <w:rFonts w:ascii="Century Gothic" w:cs="Century Gothic" w:eastAsia="Century Gothic" w:hAnsi="Century Gothic"/>
          <w:rtl w:val="0"/>
        </w:rPr>
        <w:t xml:space="preserve"> This article explains how poverty-related behaviors are often criminalized within the United States criminal justice system. It discusses the impact of fines, cash bail, homelessness policies, and economic inequality on marginalized communities, making it useful for understanding the connection between poverty and survival-based offense. </w:t>
      </w:r>
    </w:p>
    <w:p w:rsidR="00000000" w:rsidDel="00000000" w:rsidP="00000000" w:rsidRDefault="00000000" w:rsidRPr="00000000" w14:paraId="00000092">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3">
      <w:pPr>
        <w:pageBreakBefore w:val="0"/>
        <w:widowControl w:val="0"/>
        <w:spacing w:after="0" w:before="0" w:line="360" w:lineRule="auto"/>
        <w:jc w:val="both"/>
        <w:rPr>
          <w:rFonts w:ascii="Century Gothic" w:cs="Century Gothic" w:eastAsia="Century Gothic" w:hAnsi="Century Gothic"/>
          <w:color w:val="0000ff"/>
        </w:rPr>
      </w:pPr>
      <w:hyperlink r:id="rId9">
        <w:r w:rsidDel="00000000" w:rsidR="00000000" w:rsidRPr="00000000">
          <w:rPr>
            <w:rFonts w:ascii="Century Gothic" w:cs="Century Gothic" w:eastAsia="Century Gothic" w:hAnsi="Century Gothic"/>
            <w:color w:val="1155cc"/>
            <w:u w:val="single"/>
            <w:rtl w:val="0"/>
          </w:rPr>
          <w:t xml:space="preserve">https://www.amnesty.org/en/what-we-do/discrimination/racial-justice/</w:t>
        </w:r>
      </w:hyperlink>
      <w:r w:rsidDel="00000000" w:rsidR="00000000" w:rsidRPr="00000000">
        <w:rPr>
          <w:rtl w:val="0"/>
        </w:rPr>
      </w:r>
    </w:p>
    <w:p w:rsidR="00000000" w:rsidDel="00000000" w:rsidP="00000000" w:rsidRDefault="00000000" w:rsidRPr="00000000" w14:paraId="00000094">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rtl w:val="0"/>
        </w:rPr>
        <w:t xml:space="preserve">Source B:</w:t>
      </w:r>
      <w:r w:rsidDel="00000000" w:rsidR="00000000" w:rsidRPr="00000000">
        <w:rPr>
          <w:rFonts w:ascii="Century Gothic" w:cs="Century Gothic" w:eastAsia="Century Gothic" w:hAnsi="Century Gothic"/>
          <w:rtl w:val="0"/>
        </w:rPr>
        <w:t xml:space="preserve"> This source explores how discriminatory policing and racial profiling disproportionately affect marginalized racial and ethnic communities. It is especially useful for researching unequal treatment within law enforcement and criminal justice systems. </w:t>
      </w:r>
      <w:r w:rsidDel="00000000" w:rsidR="00000000" w:rsidRPr="00000000">
        <w:rPr>
          <w:rtl w:val="0"/>
        </w:rPr>
      </w:r>
    </w:p>
    <w:p w:rsidR="00000000" w:rsidDel="00000000" w:rsidP="00000000" w:rsidRDefault="00000000" w:rsidRPr="00000000" w14:paraId="00000095">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96">
      <w:pPr>
        <w:widowControl w:val="0"/>
        <w:spacing w:line="360" w:lineRule="auto"/>
        <w:jc w:val="both"/>
        <w:rPr>
          <w:rFonts w:ascii="Century Gothic" w:cs="Century Gothic" w:eastAsia="Century Gothic" w:hAnsi="Century Gothic"/>
          <w:color w:val="0000ff"/>
        </w:rPr>
      </w:pPr>
      <w:hyperlink r:id="rId10">
        <w:r w:rsidDel="00000000" w:rsidR="00000000" w:rsidRPr="00000000">
          <w:rPr>
            <w:rFonts w:ascii="Century Gothic" w:cs="Century Gothic" w:eastAsia="Century Gothic" w:hAnsi="Century Gothic"/>
            <w:color w:val="1155cc"/>
            <w:u w:val="single"/>
            <w:rtl w:val="0"/>
          </w:rPr>
          <w:t xml:space="preserve">https://pmc.ncbi.nlm.nih.gov/articles/PMC10947981/</w:t>
        </w:r>
      </w:hyperlink>
      <w:r w:rsidDel="00000000" w:rsidR="00000000" w:rsidRPr="00000000">
        <w:rPr>
          <w:rtl w:val="0"/>
        </w:rPr>
      </w:r>
    </w:p>
    <w:p w:rsidR="00000000" w:rsidDel="00000000" w:rsidP="00000000" w:rsidRDefault="00000000" w:rsidRPr="00000000" w14:paraId="00000097">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rtl w:val="0"/>
        </w:rPr>
        <w:t xml:space="preserve">Source C:</w:t>
      </w:r>
      <w:r w:rsidDel="00000000" w:rsidR="00000000" w:rsidRPr="00000000">
        <w:rPr>
          <w:rFonts w:ascii="Century Gothic" w:cs="Century Gothic" w:eastAsia="Century Gothic" w:hAnsi="Century Gothic"/>
          <w:rtl w:val="0"/>
        </w:rPr>
        <w:t xml:space="preserve"> This academic study analyzes the relationship between poverty, homelessness, and criminalization. It provides statistical and research-based evidence regarding how survival-based behaviors are often penalized and the long-term social impacts of these policies. </w:t>
      </w:r>
      <w:r w:rsidDel="00000000" w:rsidR="00000000" w:rsidRPr="00000000">
        <w:rPr>
          <w:rtl w:val="0"/>
        </w:rPr>
      </w:r>
    </w:p>
    <w:p w:rsidR="00000000" w:rsidDel="00000000" w:rsidP="00000000" w:rsidRDefault="00000000" w:rsidRPr="00000000" w14:paraId="00000098">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99">
      <w:pPr>
        <w:widowControl w:val="0"/>
        <w:spacing w:line="360" w:lineRule="auto"/>
        <w:jc w:val="both"/>
        <w:rPr>
          <w:rFonts w:ascii="Century Gothic" w:cs="Century Gothic" w:eastAsia="Century Gothic" w:hAnsi="Century Gothic"/>
          <w:b w:val="1"/>
          <w:bCs w:val="1"/>
          <w:color w:val="0000ff"/>
        </w:rPr>
      </w:pPr>
      <w:hyperlink r:id="rId11">
        <w:r w:rsidDel="00000000" w:rsidR="00000000" w:rsidRPr="00000000">
          <w:rPr>
            <w:rFonts w:ascii="Century Gothic" w:cs="Century Gothic" w:eastAsia="Century Gothic" w:hAnsi="Century Gothic"/>
            <w:color w:val="1155cc"/>
            <w:u w:val="single"/>
            <w:rtl w:val="0"/>
          </w:rPr>
          <w:t xml:space="preserve">https://www.researchgate.net/publication/224882799_The_Rehabilitation_and_Reintegration_of_OffendersThe_Current_Landscape_and_Some_Future_Directions_for_Correctional_Psychology</w:t>
        </w:r>
      </w:hyperlink>
      <w:r w:rsidDel="00000000" w:rsidR="00000000" w:rsidRPr="00000000">
        <w:rPr>
          <w:rtl w:val="0"/>
        </w:rPr>
      </w:r>
    </w:p>
    <w:p w:rsidR="00000000" w:rsidDel="00000000" w:rsidP="00000000" w:rsidRDefault="00000000" w:rsidRPr="00000000" w14:paraId="0000009A">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D:</w:t>
      </w:r>
      <w:r w:rsidDel="00000000" w:rsidR="00000000" w:rsidRPr="00000000">
        <w:rPr>
          <w:rFonts w:ascii="Century Gothic" w:cs="Century Gothic" w:eastAsia="Century Gothic" w:hAnsi="Century Gothic"/>
          <w:rtl w:val="0"/>
        </w:rPr>
        <w:t xml:space="preserve"> This research paper is focused on rehabilitation and reintegration programs for formerly incarcerated individuals. It discusses the challenges individuals face after imprisonment, such as employment barriers, social stigma, and reintegration into society. </w:t>
      </w:r>
    </w:p>
    <w:p w:rsidR="00000000" w:rsidDel="00000000" w:rsidP="00000000" w:rsidRDefault="00000000" w:rsidRPr="00000000" w14:paraId="0000009B">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C">
      <w:pPr>
        <w:widowControl w:val="0"/>
        <w:spacing w:line="360" w:lineRule="auto"/>
        <w:jc w:val="both"/>
        <w:rPr>
          <w:rFonts w:ascii="Century Gothic" w:cs="Century Gothic" w:eastAsia="Century Gothic" w:hAnsi="Century Gothic"/>
          <w:color w:val="0000ff"/>
        </w:rPr>
      </w:pPr>
      <w:hyperlink r:id="rId12">
        <w:r w:rsidDel="00000000" w:rsidR="00000000" w:rsidRPr="00000000">
          <w:rPr>
            <w:rFonts w:ascii="Century Gothic" w:cs="Century Gothic" w:eastAsia="Century Gothic" w:hAnsi="Century Gothic"/>
            <w:color w:val="1155cc"/>
            <w:u w:val="single"/>
            <w:rtl w:val="0"/>
          </w:rPr>
          <w:t xml:space="preserve">https://www.vera.org/news/what-breaking-cycles-of-crime-actually-means</w:t>
        </w:r>
      </w:hyperlink>
      <w:r w:rsidDel="00000000" w:rsidR="00000000" w:rsidRPr="00000000">
        <w:rPr>
          <w:rtl w:val="0"/>
        </w:rPr>
      </w:r>
    </w:p>
    <w:p w:rsidR="00000000" w:rsidDel="00000000" w:rsidP="00000000" w:rsidRDefault="00000000" w:rsidRPr="00000000" w14:paraId="0000009D">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rtl w:val="0"/>
        </w:rPr>
        <w:t xml:space="preserve">Source E:</w:t>
      </w:r>
      <w:r w:rsidDel="00000000" w:rsidR="00000000" w:rsidRPr="00000000">
        <w:rPr>
          <w:rFonts w:ascii="Century Gothic" w:cs="Century Gothic" w:eastAsia="Century Gothic" w:hAnsi="Century Gothic"/>
          <w:rtl w:val="0"/>
        </w:rPr>
        <w:t xml:space="preserve"> This article discusses how repeated interaction with criminal justice systems can reinforce cycles of poverty and recidivism. It also touches upon alternatives to punitive approaches, including community support, rehabilitation, and long-term prevention strategies. </w:t>
      </w:r>
      <w:r w:rsidDel="00000000" w:rsidR="00000000" w:rsidRPr="00000000">
        <w:rPr>
          <w:rtl w:val="0"/>
        </w:rPr>
      </w:r>
    </w:p>
    <w:p w:rsidR="00000000" w:rsidDel="00000000" w:rsidP="00000000" w:rsidRDefault="00000000" w:rsidRPr="00000000" w14:paraId="0000009E">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9F">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A0">
      <w:pPr>
        <w:widowControl w:val="0"/>
        <w:spacing w:line="360" w:lineRule="auto"/>
        <w:jc w:val="both"/>
        <w:rPr>
          <w:rFonts w:ascii="Century Gothic" w:cs="Century Gothic" w:eastAsia="Century Gothic" w:hAnsi="Century Gothic"/>
          <w:b w:val="1"/>
          <w:bCs w:val="1"/>
          <w:sz w:val="24"/>
          <w:szCs w:val="24"/>
          <w:highlight w:val="white"/>
        </w:rPr>
      </w:pPr>
      <w:r w:rsidDel="00000000" w:rsidR="00000000" w:rsidRPr="00000000">
        <w:rPr>
          <w:rFonts w:ascii="Century Gothic" w:cs="Century Gothic" w:eastAsia="Century Gothic" w:hAnsi="Century Gothic"/>
          <w:b w:val="1"/>
          <w:bCs w:val="1"/>
          <w:color w:val="0000ff"/>
          <w:rtl w:val="0"/>
        </w:rPr>
        <w:t xml:space="preserve">Bibliography</w:t>
      </w:r>
      <w:r w:rsidDel="00000000" w:rsidR="00000000" w:rsidRPr="00000000">
        <w:rPr>
          <w:rtl w:val="0"/>
        </w:rPr>
      </w:r>
    </w:p>
    <w:p w:rsidR="00000000" w:rsidDel="00000000" w:rsidP="00000000" w:rsidRDefault="00000000" w:rsidRPr="00000000" w14:paraId="000000A1">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Aaronson, Ely, and Gregory Shaffer. “Defining Crimes in a Global Age: Criminalization as a Transnational Legal Process.” </w:t>
      </w:r>
      <w:r w:rsidDel="00000000" w:rsidR="00000000" w:rsidRPr="00000000">
        <w:rPr>
          <w:rFonts w:ascii="Century Gothic" w:cs="Century Gothic" w:eastAsia="Century Gothic" w:hAnsi="Century Gothic"/>
          <w:i w:val="1"/>
          <w:iCs w:val="1"/>
          <w:sz w:val="24"/>
          <w:szCs w:val="24"/>
          <w:highlight w:val="white"/>
          <w:rtl w:val="0"/>
        </w:rPr>
        <w:t xml:space="preserve">Law &amp; Social Inquiry</w:t>
      </w:r>
      <w:r w:rsidDel="00000000" w:rsidR="00000000" w:rsidRPr="00000000">
        <w:rPr>
          <w:rFonts w:ascii="Century Gothic" w:cs="Century Gothic" w:eastAsia="Century Gothic" w:hAnsi="Century Gothic"/>
          <w:sz w:val="24"/>
          <w:szCs w:val="24"/>
          <w:highlight w:val="white"/>
          <w:rtl w:val="0"/>
        </w:rPr>
        <w:t xml:space="preserve">, vol. 46, no. 2, Dec. 2020, pp. 1–32, https://doi.org/10.1017/lsi.2020.42.</w:t>
      </w:r>
    </w:p>
    <w:p w:rsidR="00000000" w:rsidDel="00000000" w:rsidP="00000000" w:rsidRDefault="00000000" w:rsidRPr="00000000" w14:paraId="000000A2">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AI, Legal Experts. “Petty Offense | Legal Definition and Context Explained.” </w:t>
      </w:r>
      <w:r w:rsidDel="00000000" w:rsidR="00000000" w:rsidRPr="00000000">
        <w:rPr>
          <w:rFonts w:ascii="Century Gothic" w:cs="Century Gothic" w:eastAsia="Century Gothic" w:hAnsi="Century Gothic"/>
          <w:i w:val="1"/>
          <w:iCs w:val="1"/>
          <w:sz w:val="24"/>
          <w:szCs w:val="24"/>
          <w:highlight w:val="white"/>
          <w:rtl w:val="0"/>
        </w:rPr>
        <w:t xml:space="preserve">Legal Experts AI</w:t>
      </w:r>
      <w:r w:rsidDel="00000000" w:rsidR="00000000" w:rsidRPr="00000000">
        <w:rPr>
          <w:rFonts w:ascii="Century Gothic" w:cs="Century Gothic" w:eastAsia="Century Gothic" w:hAnsi="Century Gothic"/>
          <w:sz w:val="24"/>
          <w:szCs w:val="24"/>
          <w:highlight w:val="white"/>
          <w:rtl w:val="0"/>
        </w:rPr>
        <w:t xml:space="preserve">, 2026, www.legalexperts.ai/knowledge-base/petty-offense-definition-penalties-exceptions. Accessed 26 Apr. 2026.</w:t>
      </w:r>
    </w:p>
    <w:p w:rsidR="00000000" w:rsidDel="00000000" w:rsidP="00000000" w:rsidRDefault="00000000" w:rsidRPr="00000000" w14:paraId="000000A3">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“Alternatives to Imprisonment.” </w:t>
      </w:r>
      <w:r w:rsidDel="00000000" w:rsidR="00000000" w:rsidRPr="00000000">
        <w:rPr>
          <w:rFonts w:ascii="Century Gothic" w:cs="Century Gothic" w:eastAsia="Century Gothic" w:hAnsi="Century Gothic"/>
          <w:i w:val="1"/>
          <w:iCs w:val="1"/>
          <w:sz w:val="24"/>
          <w:szCs w:val="24"/>
          <w:highlight w:val="white"/>
          <w:rtl w:val="0"/>
        </w:rPr>
        <w:t xml:space="preserve">United Nations : Office on Drugs and Crime</w:t>
      </w:r>
      <w:r w:rsidDel="00000000" w:rsidR="00000000" w:rsidRPr="00000000">
        <w:rPr>
          <w:rFonts w:ascii="Century Gothic" w:cs="Century Gothic" w:eastAsia="Century Gothic" w:hAnsi="Century Gothic"/>
          <w:sz w:val="24"/>
          <w:szCs w:val="24"/>
          <w:highlight w:val="white"/>
          <w:rtl w:val="0"/>
        </w:rPr>
        <w:t xml:space="preserve">, www.unodc.org/unodc/en/justice-and-prison-reform/cpcj-alternatives-to-imprisonment.html.</w:t>
      </w:r>
    </w:p>
    <w:p w:rsidR="00000000" w:rsidDel="00000000" w:rsidP="00000000" w:rsidRDefault="00000000" w:rsidRPr="00000000" w14:paraId="000000A4">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Amnesty International . “Racial Justice.” </w:t>
      </w:r>
      <w:r w:rsidDel="00000000" w:rsidR="00000000" w:rsidRPr="00000000">
        <w:rPr>
          <w:rFonts w:ascii="Century Gothic" w:cs="Century Gothic" w:eastAsia="Century Gothic" w:hAnsi="Century Gothic"/>
          <w:i w:val="1"/>
          <w:iCs w:val="1"/>
          <w:sz w:val="24"/>
          <w:szCs w:val="24"/>
          <w:highlight w:val="white"/>
          <w:rtl w:val="0"/>
        </w:rPr>
        <w:t xml:space="preserve">Amnesty International</w:t>
      </w:r>
      <w:r w:rsidDel="00000000" w:rsidR="00000000" w:rsidRPr="00000000">
        <w:rPr>
          <w:rFonts w:ascii="Century Gothic" w:cs="Century Gothic" w:eastAsia="Century Gothic" w:hAnsi="Century Gothic"/>
          <w:sz w:val="24"/>
          <w:szCs w:val="24"/>
          <w:highlight w:val="white"/>
          <w:rtl w:val="0"/>
        </w:rPr>
        <w:t xml:space="preserve">, 2024, www.amnesty.org/en/what-we-do/discrimination/racial-justice/.</w:t>
      </w:r>
    </w:p>
    <w:p w:rsidR="00000000" w:rsidDel="00000000" w:rsidP="00000000" w:rsidRDefault="00000000" w:rsidRPr="00000000" w14:paraId="000000A5">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Bernstein, Lenny. “Impact of COVID-19 | History, Consequences, &amp; Place in History | Britannica.” </w:t>
      </w:r>
      <w:r w:rsidDel="00000000" w:rsidR="00000000" w:rsidRPr="00000000">
        <w:rPr>
          <w:rFonts w:ascii="Century Gothic" w:cs="Century Gothic" w:eastAsia="Century Gothic" w:hAnsi="Century Gothic"/>
          <w:i w:val="1"/>
          <w:iCs w:val="1"/>
          <w:sz w:val="24"/>
          <w:szCs w:val="24"/>
          <w:highlight w:val="white"/>
          <w:rtl w:val="0"/>
        </w:rPr>
        <w:t xml:space="preserve">Www.britannica.com</w:t>
      </w:r>
      <w:r w:rsidDel="00000000" w:rsidR="00000000" w:rsidRPr="00000000">
        <w:rPr>
          <w:rFonts w:ascii="Century Gothic" w:cs="Century Gothic" w:eastAsia="Century Gothic" w:hAnsi="Century Gothic"/>
          <w:sz w:val="24"/>
          <w:szCs w:val="24"/>
          <w:highlight w:val="white"/>
          <w:rtl w:val="0"/>
        </w:rPr>
        <w:t xml:space="preserve">, 12 Apr. 2024, www.britannica.com/topic/What-was-the-impact-of-COVID-19.</w:t>
      </w:r>
    </w:p>
    <w:p w:rsidR="00000000" w:rsidDel="00000000" w:rsidP="00000000" w:rsidRDefault="00000000" w:rsidRPr="00000000" w14:paraId="000000A6">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Bounoua, Nadia, et al. “Structural Barriers Explain the Link between Negative Community Re‐Entry Experiences and Motives for Illegal Behavior in Street‐Identified Black Men and Women.” </w:t>
      </w:r>
      <w:r w:rsidDel="00000000" w:rsidR="00000000" w:rsidRPr="00000000">
        <w:rPr>
          <w:rFonts w:ascii="Century Gothic" w:cs="Century Gothic" w:eastAsia="Century Gothic" w:hAnsi="Century Gothic"/>
          <w:i w:val="1"/>
          <w:iCs w:val="1"/>
          <w:sz w:val="24"/>
          <w:szCs w:val="24"/>
          <w:highlight w:val="white"/>
          <w:rtl w:val="0"/>
        </w:rPr>
        <w:t xml:space="preserve">American Journal of Community Psychology</w:t>
      </w:r>
      <w:r w:rsidDel="00000000" w:rsidR="00000000" w:rsidRPr="00000000">
        <w:rPr>
          <w:rFonts w:ascii="Century Gothic" w:cs="Century Gothic" w:eastAsia="Century Gothic" w:hAnsi="Century Gothic"/>
          <w:sz w:val="24"/>
          <w:szCs w:val="24"/>
          <w:highlight w:val="white"/>
          <w:rtl w:val="0"/>
        </w:rPr>
        <w:t xml:space="preserve">, Wiley-Blackwell, Oct. 2023, https://doi.org/10.1002/ajcp.12713.</w:t>
      </w:r>
    </w:p>
    <w:p w:rsidR="00000000" w:rsidDel="00000000" w:rsidP="00000000" w:rsidRDefault="00000000" w:rsidRPr="00000000" w14:paraId="000000A7">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Cambridge Dictionary. “PETTY CRIME | Meaning in the Cambridge English Dictionary.” </w:t>
      </w:r>
      <w:r w:rsidDel="00000000" w:rsidR="00000000" w:rsidRPr="00000000">
        <w:rPr>
          <w:rFonts w:ascii="Century Gothic" w:cs="Century Gothic" w:eastAsia="Century Gothic" w:hAnsi="Century Gothic"/>
          <w:i w:val="1"/>
          <w:iCs w:val="1"/>
          <w:sz w:val="24"/>
          <w:szCs w:val="24"/>
          <w:highlight w:val="white"/>
          <w:rtl w:val="0"/>
        </w:rPr>
        <w:t xml:space="preserve">Cambridge.org</w:t>
      </w:r>
      <w:r w:rsidDel="00000000" w:rsidR="00000000" w:rsidRPr="00000000">
        <w:rPr>
          <w:rFonts w:ascii="Century Gothic" w:cs="Century Gothic" w:eastAsia="Century Gothic" w:hAnsi="Century Gothic"/>
          <w:sz w:val="24"/>
          <w:szCs w:val="24"/>
          <w:highlight w:val="white"/>
          <w:rtl w:val="0"/>
        </w:rPr>
        <w:t xml:space="preserve">, 18 Dec. 2019, dictionary.cambridge.org/dictionary/english/petty-crime.</w:t>
      </w:r>
    </w:p>
    <w:p w:rsidR="00000000" w:rsidDel="00000000" w:rsidP="00000000" w:rsidRDefault="00000000" w:rsidRPr="00000000" w14:paraId="000000A8">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“Convention on the Elimination of All Forms of Discrimination against Women | UN.” </w:t>
      </w:r>
      <w:r w:rsidDel="00000000" w:rsidR="00000000" w:rsidRPr="00000000">
        <w:rPr>
          <w:rFonts w:ascii="Century Gothic" w:cs="Century Gothic" w:eastAsia="Century Gothic" w:hAnsi="Century Gothic"/>
          <w:i w:val="1"/>
          <w:iCs w:val="1"/>
          <w:sz w:val="24"/>
          <w:szCs w:val="24"/>
          <w:highlight w:val="white"/>
          <w:rtl w:val="0"/>
        </w:rPr>
        <w:t xml:space="preserve">Encyclopædia Britannica</w:t>
      </w:r>
      <w:r w:rsidDel="00000000" w:rsidR="00000000" w:rsidRPr="00000000">
        <w:rPr>
          <w:rFonts w:ascii="Century Gothic" w:cs="Century Gothic" w:eastAsia="Century Gothic" w:hAnsi="Century Gothic"/>
          <w:sz w:val="24"/>
          <w:szCs w:val="24"/>
          <w:highlight w:val="white"/>
          <w:rtl w:val="0"/>
        </w:rPr>
        <w:t xml:space="preserve">, 2019, www.britannica.com/event/Convention-on-the-Elimination-of-All-Forms-of-Discrimination-Against-Women.</w:t>
      </w:r>
    </w:p>
    <w:p w:rsidR="00000000" w:rsidDel="00000000" w:rsidP="00000000" w:rsidRDefault="00000000" w:rsidRPr="00000000" w14:paraId="000000A9">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“Criminalization - Dictionary Definition.” </w:t>
      </w:r>
      <w:r w:rsidDel="00000000" w:rsidR="00000000" w:rsidRPr="00000000">
        <w:rPr>
          <w:rFonts w:ascii="Century Gothic" w:cs="Century Gothic" w:eastAsia="Century Gothic" w:hAnsi="Century Gothic"/>
          <w:i w:val="1"/>
          <w:iCs w:val="1"/>
          <w:sz w:val="24"/>
          <w:szCs w:val="24"/>
          <w:highlight w:val="white"/>
          <w:rtl w:val="0"/>
        </w:rPr>
        <w:t xml:space="preserve">Vocabulary.com</w:t>
      </w:r>
      <w:r w:rsidDel="00000000" w:rsidR="00000000" w:rsidRPr="00000000">
        <w:rPr>
          <w:rFonts w:ascii="Century Gothic" w:cs="Century Gothic" w:eastAsia="Century Gothic" w:hAnsi="Century Gothic"/>
          <w:sz w:val="24"/>
          <w:szCs w:val="24"/>
          <w:highlight w:val="white"/>
          <w:rtl w:val="0"/>
        </w:rPr>
        <w:t xml:space="preserve">, www.vocabulary.com/dictionary/criminalization.</w:t>
      </w:r>
    </w:p>
    <w:p w:rsidR="00000000" w:rsidDel="00000000" w:rsidP="00000000" w:rsidRDefault="00000000" w:rsidRPr="00000000" w14:paraId="000000AA">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Dholakia, Nazish. “What ‘Breaking Cycles of Crime’ Actually Means.” </w:t>
      </w:r>
      <w:r w:rsidDel="00000000" w:rsidR="00000000" w:rsidRPr="00000000">
        <w:rPr>
          <w:rFonts w:ascii="Century Gothic" w:cs="Century Gothic" w:eastAsia="Century Gothic" w:hAnsi="Century Gothic"/>
          <w:i w:val="1"/>
          <w:iCs w:val="1"/>
          <w:sz w:val="24"/>
          <w:szCs w:val="24"/>
          <w:highlight w:val="white"/>
          <w:rtl w:val="0"/>
        </w:rPr>
        <w:t xml:space="preserve">Vera Institute of Justice</w:t>
      </w:r>
      <w:r w:rsidDel="00000000" w:rsidR="00000000" w:rsidRPr="00000000">
        <w:rPr>
          <w:rFonts w:ascii="Century Gothic" w:cs="Century Gothic" w:eastAsia="Century Gothic" w:hAnsi="Century Gothic"/>
          <w:sz w:val="24"/>
          <w:szCs w:val="24"/>
          <w:highlight w:val="white"/>
          <w:rtl w:val="0"/>
        </w:rPr>
        <w:t xml:space="preserve">, 7 July 2018, www.vera.org/news/what-breaking-cycles-of-crime-actually-means.</w:t>
      </w:r>
    </w:p>
    <w:p w:rsidR="00000000" w:rsidDel="00000000" w:rsidP="00000000" w:rsidRDefault="00000000" w:rsidRPr="00000000" w14:paraId="000000AB">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“Disproportionate Impact.” </w:t>
      </w:r>
      <w:r w:rsidDel="00000000" w:rsidR="00000000" w:rsidRPr="00000000">
        <w:rPr>
          <w:rFonts w:ascii="Century Gothic" w:cs="Century Gothic" w:eastAsia="Century Gothic" w:hAnsi="Century Gothic"/>
          <w:i w:val="1"/>
          <w:iCs w:val="1"/>
          <w:sz w:val="24"/>
          <w:szCs w:val="24"/>
          <w:highlight w:val="white"/>
          <w:rtl w:val="0"/>
        </w:rPr>
        <w:t xml:space="preserve">LII / Legal Information Institute</w:t>
      </w:r>
      <w:r w:rsidDel="00000000" w:rsidR="00000000" w:rsidRPr="00000000">
        <w:rPr>
          <w:rFonts w:ascii="Century Gothic" w:cs="Century Gothic" w:eastAsia="Century Gothic" w:hAnsi="Century Gothic"/>
          <w:sz w:val="24"/>
          <w:szCs w:val="24"/>
          <w:highlight w:val="white"/>
          <w:rtl w:val="0"/>
        </w:rPr>
        <w:t xml:space="preserve">, 2025, www.law.cornell.edu/wex/disproportionate_impact.</w:t>
      </w:r>
    </w:p>
    <w:p w:rsidR="00000000" w:rsidDel="00000000" w:rsidP="00000000" w:rsidRDefault="00000000" w:rsidRPr="00000000" w14:paraId="000000AC">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“Disproportionately Affected | Definition.” </w:t>
      </w:r>
      <w:r w:rsidDel="00000000" w:rsidR="00000000" w:rsidRPr="00000000">
        <w:rPr>
          <w:rFonts w:ascii="Century Gothic" w:cs="Century Gothic" w:eastAsia="Century Gothic" w:hAnsi="Century Gothic"/>
          <w:i w:val="1"/>
          <w:iCs w:val="1"/>
          <w:sz w:val="24"/>
          <w:szCs w:val="24"/>
          <w:highlight w:val="white"/>
          <w:rtl w:val="0"/>
        </w:rPr>
        <w:t xml:space="preserve">Docmckee.com</w:t>
      </w:r>
      <w:r w:rsidDel="00000000" w:rsidR="00000000" w:rsidRPr="00000000">
        <w:rPr>
          <w:rFonts w:ascii="Century Gothic" w:cs="Century Gothic" w:eastAsia="Century Gothic" w:hAnsi="Century Gothic"/>
          <w:sz w:val="24"/>
          <w:szCs w:val="24"/>
          <w:highlight w:val="white"/>
          <w:rtl w:val="0"/>
        </w:rPr>
        <w:t xml:space="preserve">, 19 Mar. 2025, docmckee.com/cj/docs-criminal-justice-glossary/disproportionately-affected-definition/#google_vignette.</w:t>
      </w:r>
    </w:p>
    <w:p w:rsidR="00000000" w:rsidDel="00000000" w:rsidP="00000000" w:rsidRDefault="00000000" w:rsidRPr="00000000" w14:paraId="000000AD">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Farmer, Lindsay. “Criminalization and Decriminalization.” </w:t>
      </w:r>
      <w:r w:rsidDel="00000000" w:rsidR="00000000" w:rsidRPr="00000000">
        <w:rPr>
          <w:rFonts w:ascii="Century Gothic" w:cs="Century Gothic" w:eastAsia="Century Gothic" w:hAnsi="Century Gothic"/>
          <w:i w:val="1"/>
          <w:iCs w:val="1"/>
          <w:sz w:val="24"/>
          <w:szCs w:val="24"/>
          <w:highlight w:val="white"/>
          <w:rtl w:val="0"/>
        </w:rPr>
        <w:t xml:space="preserve">Www.elgaronline.com</w:t>
      </w:r>
      <w:r w:rsidDel="00000000" w:rsidR="00000000" w:rsidRPr="00000000">
        <w:rPr>
          <w:rFonts w:ascii="Century Gothic" w:cs="Century Gothic" w:eastAsia="Century Gothic" w:hAnsi="Century Gothic"/>
          <w:sz w:val="24"/>
          <w:szCs w:val="24"/>
          <w:highlight w:val="white"/>
          <w:rtl w:val="0"/>
        </w:rPr>
        <w:t xml:space="preserve">, Edward Elgar Publishing, 28 July 2024, www.elgaronline.com/display/book/9781789902990/b-9781789902990.criminalization.decriminalization.xml.</w:t>
      </w:r>
    </w:p>
    <w:p w:rsidR="00000000" w:rsidDel="00000000" w:rsidP="00000000" w:rsidRDefault="00000000" w:rsidRPr="00000000" w14:paraId="000000AE">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“International Covenant on Economic, Social and Cultural Rights - Main Page.” </w:t>
      </w:r>
      <w:r w:rsidDel="00000000" w:rsidR="00000000" w:rsidRPr="00000000">
        <w:rPr>
          <w:rFonts w:ascii="Century Gothic" w:cs="Century Gothic" w:eastAsia="Century Gothic" w:hAnsi="Century Gothic"/>
          <w:i w:val="1"/>
          <w:iCs w:val="1"/>
          <w:sz w:val="24"/>
          <w:szCs w:val="24"/>
          <w:highlight w:val="white"/>
          <w:rtl w:val="0"/>
        </w:rPr>
        <w:t xml:space="preserve">Un.org</w:t>
      </w:r>
      <w:r w:rsidDel="00000000" w:rsidR="00000000" w:rsidRPr="00000000">
        <w:rPr>
          <w:rFonts w:ascii="Century Gothic" w:cs="Century Gothic" w:eastAsia="Century Gothic" w:hAnsi="Century Gothic"/>
          <w:sz w:val="24"/>
          <w:szCs w:val="24"/>
          <w:highlight w:val="white"/>
          <w:rtl w:val="0"/>
        </w:rPr>
        <w:t xml:space="preserve">, 2020, legal.un.org/avl/ha/icescr/icescr.html? Accessed 10 May 2026.</w:t>
      </w:r>
    </w:p>
    <w:p w:rsidR="00000000" w:rsidDel="00000000" w:rsidP="00000000" w:rsidRDefault="00000000" w:rsidRPr="00000000" w14:paraId="000000AF">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jamesju. “What Is Sentencing in Criminal Law?  | Legal Terms from Thomson Reuters.” </w:t>
      </w:r>
      <w:r w:rsidDel="00000000" w:rsidR="00000000" w:rsidRPr="00000000">
        <w:rPr>
          <w:rFonts w:ascii="Century Gothic" w:cs="Century Gothic" w:eastAsia="Century Gothic" w:hAnsi="Century Gothic"/>
          <w:i w:val="1"/>
          <w:iCs w:val="1"/>
          <w:sz w:val="24"/>
          <w:szCs w:val="24"/>
          <w:highlight w:val="white"/>
          <w:rtl w:val="0"/>
        </w:rPr>
        <w:t xml:space="preserve">Thomson Reuters Law Blog</w:t>
      </w:r>
      <w:r w:rsidDel="00000000" w:rsidR="00000000" w:rsidRPr="00000000">
        <w:rPr>
          <w:rFonts w:ascii="Century Gothic" w:cs="Century Gothic" w:eastAsia="Century Gothic" w:hAnsi="Century Gothic"/>
          <w:sz w:val="24"/>
          <w:szCs w:val="24"/>
          <w:highlight w:val="white"/>
          <w:rtl w:val="0"/>
        </w:rPr>
        <w:t xml:space="preserve">, 7 Feb. 2024, legal.thomsonreuters.com/blog/criminal-law-sentencing/.</w:t>
      </w:r>
    </w:p>
    <w:p w:rsidR="00000000" w:rsidDel="00000000" w:rsidP="00000000" w:rsidRDefault="00000000" w:rsidRPr="00000000" w14:paraId="000000B0">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Justice Reform Foundation. “The Transformative Power of Rehabilitation in Criminal Justice.” </w:t>
      </w:r>
      <w:r w:rsidDel="00000000" w:rsidR="00000000" w:rsidRPr="00000000">
        <w:rPr>
          <w:rFonts w:ascii="Century Gothic" w:cs="Century Gothic" w:eastAsia="Century Gothic" w:hAnsi="Century Gothic"/>
          <w:i w:val="1"/>
          <w:iCs w:val="1"/>
          <w:sz w:val="24"/>
          <w:szCs w:val="24"/>
          <w:highlight w:val="white"/>
          <w:rtl w:val="0"/>
        </w:rPr>
        <w:t xml:space="preserve">Justice Reform Foundation</w:t>
      </w:r>
      <w:r w:rsidDel="00000000" w:rsidR="00000000" w:rsidRPr="00000000">
        <w:rPr>
          <w:rFonts w:ascii="Century Gothic" w:cs="Century Gothic" w:eastAsia="Century Gothic" w:hAnsi="Century Gothic"/>
          <w:sz w:val="24"/>
          <w:szCs w:val="24"/>
          <w:highlight w:val="white"/>
          <w:rtl w:val="0"/>
        </w:rPr>
        <w:t xml:space="preserve">, 13 July 2023, justicereformfoundation.org/rehabilitation/the-transformative-power-of-rehabilitation-in-criminal-justice/.</w:t>
      </w:r>
    </w:p>
    <w:p w:rsidR="00000000" w:rsidDel="00000000" w:rsidP="00000000" w:rsidRDefault="00000000" w:rsidRPr="00000000" w14:paraId="000000B1">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Labor, Survival. “California Law Review.” </w:t>
      </w:r>
      <w:r w:rsidDel="00000000" w:rsidR="00000000" w:rsidRPr="00000000">
        <w:rPr>
          <w:rFonts w:ascii="Century Gothic" w:cs="Century Gothic" w:eastAsia="Century Gothic" w:hAnsi="Century Gothic"/>
          <w:i w:val="1"/>
          <w:iCs w:val="1"/>
          <w:sz w:val="24"/>
          <w:szCs w:val="24"/>
          <w:highlight w:val="white"/>
          <w:rtl w:val="0"/>
        </w:rPr>
        <w:t xml:space="preserve">California Law Review</w:t>
      </w:r>
      <w:r w:rsidDel="00000000" w:rsidR="00000000" w:rsidRPr="00000000">
        <w:rPr>
          <w:rFonts w:ascii="Century Gothic" w:cs="Century Gothic" w:eastAsia="Century Gothic" w:hAnsi="Century Gothic"/>
          <w:sz w:val="24"/>
          <w:szCs w:val="24"/>
          <w:highlight w:val="white"/>
          <w:rtl w:val="0"/>
        </w:rPr>
        <w:t xml:space="preserve">, 8 May 2024, www.californialawreview.org/print/survival-labor.</w:t>
      </w:r>
    </w:p>
    <w:p w:rsidR="00000000" w:rsidDel="00000000" w:rsidP="00000000" w:rsidRDefault="00000000" w:rsidRPr="00000000" w14:paraId="000000B2">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Miller, Wilbur. </w:t>
      </w:r>
      <w:r w:rsidDel="00000000" w:rsidR="00000000" w:rsidRPr="00000000">
        <w:rPr>
          <w:rFonts w:ascii="Century Gothic" w:cs="Century Gothic" w:eastAsia="Century Gothic" w:hAnsi="Century Gothic"/>
          <w:i w:val="1"/>
          <w:iCs w:val="1"/>
          <w:sz w:val="24"/>
          <w:szCs w:val="24"/>
          <w:highlight w:val="white"/>
          <w:rtl w:val="0"/>
        </w:rPr>
        <w:t xml:space="preserve">The Social History of Crime and Punishment in America: An Encylopedia</w:t>
      </w:r>
      <w:r w:rsidDel="00000000" w:rsidR="00000000" w:rsidRPr="00000000">
        <w:rPr>
          <w:rFonts w:ascii="Century Gothic" w:cs="Century Gothic" w:eastAsia="Century Gothic" w:hAnsi="Century Gothic"/>
          <w:sz w:val="24"/>
          <w:szCs w:val="24"/>
          <w:highlight w:val="white"/>
          <w:rtl w:val="0"/>
        </w:rPr>
        <w:t xml:space="preserve">. 2012, https://doi.org/10.4135/9781452218427. Accessed 28 Feb. 2021.</w:t>
      </w:r>
    </w:p>
    <w:p w:rsidR="00000000" w:rsidDel="00000000" w:rsidP="00000000" w:rsidRDefault="00000000" w:rsidRPr="00000000" w14:paraId="000000B3">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National Institute of Justice. “Recidivism.” </w:t>
      </w:r>
      <w:r w:rsidDel="00000000" w:rsidR="00000000" w:rsidRPr="00000000">
        <w:rPr>
          <w:rFonts w:ascii="Century Gothic" w:cs="Century Gothic" w:eastAsia="Century Gothic" w:hAnsi="Century Gothic"/>
          <w:i w:val="1"/>
          <w:iCs w:val="1"/>
          <w:sz w:val="24"/>
          <w:szCs w:val="24"/>
          <w:highlight w:val="white"/>
          <w:rtl w:val="0"/>
        </w:rPr>
        <w:t xml:space="preserve">National Institute of Justice</w:t>
      </w:r>
      <w:r w:rsidDel="00000000" w:rsidR="00000000" w:rsidRPr="00000000">
        <w:rPr>
          <w:rFonts w:ascii="Century Gothic" w:cs="Century Gothic" w:eastAsia="Century Gothic" w:hAnsi="Century Gothic"/>
          <w:sz w:val="24"/>
          <w:szCs w:val="24"/>
          <w:highlight w:val="white"/>
          <w:rtl w:val="0"/>
        </w:rPr>
        <w:t xml:space="preserve">, 2023, nij.ojp.gov/topics/corrections/recidivism.</w:t>
      </w:r>
    </w:p>
    <w:p w:rsidR="00000000" w:rsidDel="00000000" w:rsidP="00000000" w:rsidRDefault="00000000" w:rsidRPr="00000000" w14:paraId="000000B4">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Qandle. “Qandle.” </w:t>
      </w:r>
      <w:r w:rsidDel="00000000" w:rsidR="00000000" w:rsidRPr="00000000">
        <w:rPr>
          <w:rFonts w:ascii="Century Gothic" w:cs="Century Gothic" w:eastAsia="Century Gothic" w:hAnsi="Century Gothic"/>
          <w:i w:val="1"/>
          <w:iCs w:val="1"/>
          <w:sz w:val="24"/>
          <w:szCs w:val="24"/>
          <w:highlight w:val="white"/>
          <w:rtl w:val="0"/>
        </w:rPr>
        <w:t xml:space="preserve">Qandle.com</w:t>
      </w:r>
      <w:r w:rsidDel="00000000" w:rsidR="00000000" w:rsidRPr="00000000">
        <w:rPr>
          <w:rFonts w:ascii="Century Gothic" w:cs="Century Gothic" w:eastAsia="Century Gothic" w:hAnsi="Century Gothic"/>
          <w:sz w:val="24"/>
          <w:szCs w:val="24"/>
          <w:highlight w:val="white"/>
          <w:rtl w:val="0"/>
        </w:rPr>
        <w:t xml:space="preserve">, 2016, www.qandle.com/glossary-penalization. Accessed 25 Apr. 2026.</w:t>
      </w:r>
    </w:p>
    <w:p w:rsidR="00000000" w:rsidDel="00000000" w:rsidP="00000000" w:rsidRDefault="00000000" w:rsidRPr="00000000" w14:paraId="000000B5">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“Reintegration.” </w:t>
      </w:r>
      <w:r w:rsidDel="00000000" w:rsidR="00000000" w:rsidRPr="00000000">
        <w:rPr>
          <w:rFonts w:ascii="Century Gothic" w:cs="Century Gothic" w:eastAsia="Century Gothic" w:hAnsi="Century Gothic"/>
          <w:i w:val="1"/>
          <w:iCs w:val="1"/>
          <w:sz w:val="24"/>
          <w:szCs w:val="24"/>
          <w:highlight w:val="white"/>
          <w:rtl w:val="0"/>
        </w:rPr>
        <w:t xml:space="preserve">Fiveable.me</w:t>
      </w:r>
      <w:r w:rsidDel="00000000" w:rsidR="00000000" w:rsidRPr="00000000">
        <w:rPr>
          <w:rFonts w:ascii="Century Gothic" w:cs="Century Gothic" w:eastAsia="Century Gothic" w:hAnsi="Century Gothic"/>
          <w:sz w:val="24"/>
          <w:szCs w:val="24"/>
          <w:highlight w:val="white"/>
          <w:rtl w:val="0"/>
        </w:rPr>
        <w:t xml:space="preserve">, 2018, fiveable.me/comparative-criminal-justice-systems/key-terms/reintegration. Accessed 26 Apr. 2026.</w:t>
      </w:r>
    </w:p>
    <w:p w:rsidR="00000000" w:rsidDel="00000000" w:rsidP="00000000" w:rsidRDefault="00000000" w:rsidRPr="00000000" w14:paraId="000000B6">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Shouse, Neil. “What Is ‘Diversion’? A Criminal Defense Lawyer Explains.” </w:t>
      </w:r>
      <w:r w:rsidDel="00000000" w:rsidR="00000000" w:rsidRPr="00000000">
        <w:rPr>
          <w:rFonts w:ascii="Century Gothic" w:cs="Century Gothic" w:eastAsia="Century Gothic" w:hAnsi="Century Gothic"/>
          <w:i w:val="1"/>
          <w:iCs w:val="1"/>
          <w:sz w:val="24"/>
          <w:szCs w:val="24"/>
          <w:highlight w:val="white"/>
          <w:rtl w:val="0"/>
        </w:rPr>
        <w:t xml:space="preserve">Shouse Law Group</w:t>
      </w:r>
      <w:r w:rsidDel="00000000" w:rsidR="00000000" w:rsidRPr="00000000">
        <w:rPr>
          <w:rFonts w:ascii="Century Gothic" w:cs="Century Gothic" w:eastAsia="Century Gothic" w:hAnsi="Century Gothic"/>
          <w:sz w:val="24"/>
          <w:szCs w:val="24"/>
          <w:highlight w:val="white"/>
          <w:rtl w:val="0"/>
        </w:rPr>
        <w:t xml:space="preserve">, 18 Jan. 2023, www.shouselaw.com/ca/blog/what-is-diversion/.</w:t>
      </w:r>
    </w:p>
    <w:p w:rsidR="00000000" w:rsidDel="00000000" w:rsidP="00000000" w:rsidRDefault="00000000" w:rsidRPr="00000000" w14:paraId="000000B7">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Sustainability Directory. “Marginalized Communities → Term.” </w:t>
      </w:r>
      <w:r w:rsidDel="00000000" w:rsidR="00000000" w:rsidRPr="00000000">
        <w:rPr>
          <w:rFonts w:ascii="Century Gothic" w:cs="Century Gothic" w:eastAsia="Century Gothic" w:hAnsi="Century Gothic"/>
          <w:i w:val="1"/>
          <w:iCs w:val="1"/>
          <w:sz w:val="24"/>
          <w:szCs w:val="24"/>
          <w:highlight w:val="white"/>
          <w:rtl w:val="0"/>
        </w:rPr>
        <w:t xml:space="preserve">Lifestyle → Sustainability Directory</w:t>
      </w:r>
      <w:r w:rsidDel="00000000" w:rsidR="00000000" w:rsidRPr="00000000">
        <w:rPr>
          <w:rFonts w:ascii="Century Gothic" w:cs="Century Gothic" w:eastAsia="Century Gothic" w:hAnsi="Century Gothic"/>
          <w:sz w:val="24"/>
          <w:szCs w:val="24"/>
          <w:highlight w:val="white"/>
          <w:rtl w:val="0"/>
        </w:rPr>
        <w:t xml:space="preserve">, 26 July 2025, lifestyle.sustainability-directory.com/term/marginalized-communities/.</w:t>
      </w:r>
    </w:p>
    <w:p w:rsidR="00000000" w:rsidDel="00000000" w:rsidP="00000000" w:rsidRDefault="00000000" w:rsidRPr="00000000" w14:paraId="000000B8">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“The Global Financial Crisis.” </w:t>
      </w:r>
      <w:r w:rsidDel="00000000" w:rsidR="00000000" w:rsidRPr="00000000">
        <w:rPr>
          <w:rFonts w:ascii="Century Gothic" w:cs="Century Gothic" w:eastAsia="Century Gothic" w:hAnsi="Century Gothic"/>
          <w:i w:val="1"/>
          <w:iCs w:val="1"/>
          <w:sz w:val="24"/>
          <w:szCs w:val="24"/>
          <w:highlight w:val="white"/>
          <w:rtl w:val="0"/>
        </w:rPr>
        <w:t xml:space="preserve">Bis.org</w:t>
      </w:r>
      <w:r w:rsidDel="00000000" w:rsidR="00000000" w:rsidRPr="00000000">
        <w:rPr>
          <w:rFonts w:ascii="Century Gothic" w:cs="Century Gothic" w:eastAsia="Century Gothic" w:hAnsi="Century Gothic"/>
          <w:sz w:val="24"/>
          <w:szCs w:val="24"/>
          <w:highlight w:val="white"/>
          <w:rtl w:val="0"/>
        </w:rPr>
        <w:t xml:space="preserve">, 29 June 2009, www.bis.org/publ/arpdf/ar2009e2.htm? Accessed 10 May 2026.</w:t>
      </w:r>
    </w:p>
    <w:p w:rsidR="00000000" w:rsidDel="00000000" w:rsidP="00000000" w:rsidRDefault="00000000" w:rsidRPr="00000000" w14:paraId="000000B9">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“Towards a Justice System That Addresses the Needs of Vulnerable Victims and Offenders.” </w:t>
      </w:r>
      <w:r w:rsidDel="00000000" w:rsidR="00000000" w:rsidRPr="00000000">
        <w:rPr>
          <w:rFonts w:ascii="Century Gothic" w:cs="Century Gothic" w:eastAsia="Century Gothic" w:hAnsi="Century Gothic"/>
          <w:i w:val="1"/>
          <w:iCs w:val="1"/>
          <w:sz w:val="24"/>
          <w:szCs w:val="24"/>
          <w:highlight w:val="white"/>
          <w:rtl w:val="0"/>
        </w:rPr>
        <w:t xml:space="preserve">Www.northumbria.ac.uk</w:t>
      </w:r>
      <w:r w:rsidDel="00000000" w:rsidR="00000000" w:rsidRPr="00000000">
        <w:rPr>
          <w:rFonts w:ascii="Century Gothic" w:cs="Century Gothic" w:eastAsia="Century Gothic" w:hAnsi="Century Gothic"/>
          <w:sz w:val="24"/>
          <w:szCs w:val="24"/>
          <w:highlight w:val="white"/>
          <w:rtl w:val="0"/>
        </w:rPr>
        <w:t xml:space="preserve">, www.northumbria.ac.uk/research/research-impact-at-northumbria/cultural-impact/towards-a-justice-system-that-addresses-the-needs-of-vulnerable-victims-and-offenders/.</w:t>
      </w:r>
    </w:p>
    <w:p w:rsidR="00000000" w:rsidDel="00000000" w:rsidP="00000000" w:rsidRDefault="00000000" w:rsidRPr="00000000" w14:paraId="000000BA">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Trevethan, Shelley. “THE INTERSECTION of SOCIAL and ECONOMIC SYSTEMS with the CRIMINAL JUSTICE SYSTEM.” </w:t>
      </w:r>
      <w:r w:rsidDel="00000000" w:rsidR="00000000" w:rsidRPr="00000000">
        <w:rPr>
          <w:rFonts w:ascii="Century Gothic" w:cs="Century Gothic" w:eastAsia="Century Gothic" w:hAnsi="Century Gothic"/>
          <w:i w:val="1"/>
          <w:iCs w:val="1"/>
          <w:sz w:val="24"/>
          <w:szCs w:val="24"/>
          <w:highlight w:val="white"/>
          <w:rtl w:val="0"/>
        </w:rPr>
        <w:t xml:space="preserve">ResearchGate</w:t>
      </w:r>
      <w:r w:rsidDel="00000000" w:rsidR="00000000" w:rsidRPr="00000000">
        <w:rPr>
          <w:rFonts w:ascii="Century Gothic" w:cs="Century Gothic" w:eastAsia="Century Gothic" w:hAnsi="Century Gothic"/>
          <w:sz w:val="24"/>
          <w:szCs w:val="24"/>
          <w:highlight w:val="white"/>
          <w:rtl w:val="0"/>
        </w:rPr>
        <w:t xml:space="preserve">, unknown, 14 Feb. 2019, www.researchgate.net/publication/341342311_THE_INTERSECTION_OF_SOCIAL_AND_ECONOMIC_SYSTEMS_WITH_THE_CRIMINAL_JUSTICE_SYSTEM.</w:t>
      </w:r>
    </w:p>
    <w:p w:rsidR="00000000" w:rsidDel="00000000" w:rsidP="00000000" w:rsidRDefault="00000000" w:rsidRPr="00000000" w14:paraId="000000BB">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United Nations. “International Covenant on Economic, Social and Cultural Rights.” </w:t>
      </w:r>
      <w:r w:rsidDel="00000000" w:rsidR="00000000" w:rsidRPr="00000000">
        <w:rPr>
          <w:rFonts w:ascii="Century Gothic" w:cs="Century Gothic" w:eastAsia="Century Gothic" w:hAnsi="Century Gothic"/>
          <w:i w:val="1"/>
          <w:iCs w:val="1"/>
          <w:sz w:val="24"/>
          <w:szCs w:val="24"/>
          <w:highlight w:val="white"/>
          <w:rtl w:val="0"/>
        </w:rPr>
        <w:t xml:space="preserve">OHCHR</w:t>
      </w:r>
      <w:r w:rsidDel="00000000" w:rsidR="00000000" w:rsidRPr="00000000">
        <w:rPr>
          <w:rFonts w:ascii="Century Gothic" w:cs="Century Gothic" w:eastAsia="Century Gothic" w:hAnsi="Century Gothic"/>
          <w:sz w:val="24"/>
          <w:szCs w:val="24"/>
          <w:highlight w:val="white"/>
          <w:rtl w:val="0"/>
        </w:rPr>
        <w:t xml:space="preserve">, United Nations, 16 Dec. 1966, www.ohchr.org/en/instruments-mechanisms/instruments/international-covenant-economic-social-and-cultural-rights.</w:t>
      </w:r>
    </w:p>
    <w:p w:rsidR="00000000" w:rsidDel="00000000" w:rsidP="00000000" w:rsidRDefault="00000000" w:rsidRPr="00000000" w14:paraId="000000BC">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 “Universal Declaration of Human Rights.” </w:t>
      </w:r>
      <w:r w:rsidDel="00000000" w:rsidR="00000000" w:rsidRPr="00000000">
        <w:rPr>
          <w:rFonts w:ascii="Century Gothic" w:cs="Century Gothic" w:eastAsia="Century Gothic" w:hAnsi="Century Gothic"/>
          <w:i w:val="1"/>
          <w:iCs w:val="1"/>
          <w:sz w:val="24"/>
          <w:szCs w:val="24"/>
          <w:highlight w:val="white"/>
          <w:rtl w:val="0"/>
        </w:rPr>
        <w:t xml:space="preserve">United Nations</w:t>
      </w:r>
      <w:r w:rsidDel="00000000" w:rsidR="00000000" w:rsidRPr="00000000">
        <w:rPr>
          <w:rFonts w:ascii="Century Gothic" w:cs="Century Gothic" w:eastAsia="Century Gothic" w:hAnsi="Century Gothic"/>
          <w:sz w:val="24"/>
          <w:szCs w:val="24"/>
          <w:highlight w:val="white"/>
          <w:rtl w:val="0"/>
        </w:rPr>
        <w:t xml:space="preserve">, 10 Dec. 1948, www.un.org/en/about-us/universal-declaration-of-human-rights.</w:t>
      </w:r>
    </w:p>
    <w:p w:rsidR="00000000" w:rsidDel="00000000" w:rsidP="00000000" w:rsidRDefault="00000000" w:rsidRPr="00000000" w14:paraId="000000BD">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“UNODC Prison Reform.” </w:t>
      </w:r>
      <w:r w:rsidDel="00000000" w:rsidR="00000000" w:rsidRPr="00000000">
        <w:rPr>
          <w:rFonts w:ascii="Century Gothic" w:cs="Century Gothic" w:eastAsia="Century Gothic" w:hAnsi="Century Gothic"/>
          <w:i w:val="1"/>
          <w:iCs w:val="1"/>
          <w:sz w:val="24"/>
          <w:szCs w:val="24"/>
          <w:highlight w:val="white"/>
          <w:rtl w:val="0"/>
        </w:rPr>
        <w:t xml:space="preserve">United Nations : Office on Drugs and Crime</w:t>
      </w:r>
      <w:r w:rsidDel="00000000" w:rsidR="00000000" w:rsidRPr="00000000">
        <w:rPr>
          <w:rFonts w:ascii="Century Gothic" w:cs="Century Gothic" w:eastAsia="Century Gothic" w:hAnsi="Century Gothic"/>
          <w:sz w:val="24"/>
          <w:szCs w:val="24"/>
          <w:highlight w:val="white"/>
          <w:rtl w:val="0"/>
        </w:rPr>
        <w:t xml:space="preserve">, www.unodc.org/unodc/en/justice-and-prison-reform/cpcj-prison-reform.html.</w:t>
      </w:r>
    </w:p>
    <w:p w:rsidR="00000000" w:rsidDel="00000000" w:rsidP="00000000" w:rsidRDefault="00000000" w:rsidRPr="00000000" w14:paraId="000000BE">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“What Is Disparate-Impact Discrimination?” </w:t>
      </w:r>
      <w:r w:rsidDel="00000000" w:rsidR="00000000" w:rsidRPr="00000000">
        <w:rPr>
          <w:rFonts w:ascii="Century Gothic" w:cs="Century Gothic" w:eastAsia="Century Gothic" w:hAnsi="Century Gothic"/>
          <w:i w:val="1"/>
          <w:iCs w:val="1"/>
          <w:sz w:val="24"/>
          <w:szCs w:val="24"/>
          <w:highlight w:val="white"/>
          <w:rtl w:val="0"/>
        </w:rPr>
        <w:t xml:space="preserve">Congress.gov</w:t>
      </w:r>
      <w:r w:rsidDel="00000000" w:rsidR="00000000" w:rsidRPr="00000000">
        <w:rPr>
          <w:rFonts w:ascii="Century Gothic" w:cs="Century Gothic" w:eastAsia="Century Gothic" w:hAnsi="Century Gothic"/>
          <w:sz w:val="24"/>
          <w:szCs w:val="24"/>
          <w:highlight w:val="white"/>
          <w:rtl w:val="0"/>
        </w:rPr>
        <w:t xml:space="preserve">, 2025, www.congress.gov/crs-product/IF13057.</w:t>
      </w:r>
    </w:p>
    <w:p w:rsidR="00000000" w:rsidDel="00000000" w:rsidP="00000000" w:rsidRDefault="00000000" w:rsidRPr="00000000" w14:paraId="000000BF">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Wormith, J. Stephen, et al. “The Rehabilitation and Reintegration of Offenders.” </w:t>
      </w:r>
      <w:r w:rsidDel="00000000" w:rsidR="00000000" w:rsidRPr="00000000">
        <w:rPr>
          <w:rFonts w:ascii="Century Gothic" w:cs="Century Gothic" w:eastAsia="Century Gothic" w:hAnsi="Century Gothic"/>
          <w:i w:val="1"/>
          <w:iCs w:val="1"/>
          <w:sz w:val="24"/>
          <w:szCs w:val="24"/>
          <w:highlight w:val="white"/>
          <w:rtl w:val="0"/>
        </w:rPr>
        <w:t xml:space="preserve">Criminal Justice and Behavior</w:t>
      </w:r>
      <w:r w:rsidDel="00000000" w:rsidR="00000000" w:rsidRPr="00000000">
        <w:rPr>
          <w:rFonts w:ascii="Century Gothic" w:cs="Century Gothic" w:eastAsia="Century Gothic" w:hAnsi="Century Gothic"/>
          <w:sz w:val="24"/>
          <w:szCs w:val="24"/>
          <w:highlight w:val="white"/>
          <w:rtl w:val="0"/>
        </w:rPr>
        <w:t xml:space="preserve">, vol. 34, no. 7, July 2007, pp. 879–92, https://doi.org/10.1177/0093854807301552.</w:t>
      </w:r>
    </w:p>
    <w:p w:rsidR="00000000" w:rsidDel="00000000" w:rsidP="00000000" w:rsidRDefault="00000000" w:rsidRPr="00000000" w14:paraId="000000C0">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i w:val="1"/>
          <w:iCs w:val="1"/>
          <w:sz w:val="24"/>
          <w:szCs w:val="24"/>
          <w:highlight w:val="white"/>
          <w:rtl w:val="0"/>
        </w:rPr>
        <w:t xml:space="preserve">Study.com</w:t>
      </w:r>
      <w:r w:rsidDel="00000000" w:rsidR="00000000" w:rsidRPr="00000000">
        <w:rPr>
          <w:rFonts w:ascii="Century Gothic" w:cs="Century Gothic" w:eastAsia="Century Gothic" w:hAnsi="Century Gothic"/>
          <w:sz w:val="24"/>
          <w:szCs w:val="24"/>
          <w:highlight w:val="white"/>
          <w:rtl w:val="0"/>
        </w:rPr>
        <w:t xml:space="preserve">, 2022, study.com/learn/lesson/reintegration-overview-model.html.</w:t>
      </w:r>
      <w:r w:rsidDel="00000000" w:rsidR="00000000" w:rsidRPr="00000000">
        <w:rPr>
          <w:rtl w:val="0"/>
        </w:rPr>
      </w:r>
    </w:p>
    <w:sectPr>
      <w:headerReference r:id="rId13" w:type="default"/>
      <w:footerReference r:id="rId14"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2">
    <w:pPr>
      <w:pageBreakBefore w:val="0"/>
      <w:widowControl w:val="0"/>
      <w:tabs>
        <w:tab w:val="center" w:leader="none" w:pos="4320"/>
        <w:tab w:val="right" w:leader="none" w:pos="8640"/>
      </w:tabs>
      <w:spacing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b w:val="1"/>
        <w:bCs w:val="1"/>
        <w:sz w:val="18"/>
        <w:szCs w:val="18"/>
        <w:rtl w:val="0"/>
      </w:rPr>
      <w:t xml:space="preserve">Research Report</w:t>
    </w:r>
    <w:r w:rsidDel="00000000" w:rsidR="00000000" w:rsidRPr="00000000">
      <w:rPr>
        <w:rFonts w:ascii="Century Gothic" w:cs="Century Gothic" w:eastAsia="Century Gothic" w:hAnsi="Century Gothic"/>
        <w:sz w:val="18"/>
        <w:szCs w:val="18"/>
        <w:rtl w:val="0"/>
      </w:rPr>
      <w:t xml:space="preserve"> | Page </w:t>
    </w:r>
    <w:r w:rsidDel="00000000" w:rsidR="00000000" w:rsidRPr="00000000">
      <w:rPr>
        <w:rFonts w:ascii="Century Gothic" w:cs="Century Gothic" w:eastAsia="Century Gothic" w:hAnsi="Century Gothic"/>
        <w:sz w:val="18"/>
        <w:szCs w:val="18"/>
      </w:rPr>
      <w:fldChar w:fldCharType="begin"/>
      <w:instrText xml:space="preserve">PAGE</w:instrText>
      <w:fldChar w:fldCharType="separate"/>
      <w:fldChar w:fldCharType="end"/>
    </w:r>
    <w:r w:rsidDel="00000000" w:rsidR="00000000" w:rsidRPr="00000000">
      <w:rPr>
        <w:rFonts w:ascii="Century Gothic" w:cs="Century Gothic" w:eastAsia="Century Gothic" w:hAnsi="Century Gothic"/>
        <w:sz w:val="18"/>
        <w:szCs w:val="18"/>
        <w:rtl w:val="0"/>
      </w:rPr>
      <w:t xml:space="preserve"> of </w:t>
    </w:r>
    <w:r w:rsidDel="00000000" w:rsidR="00000000" w:rsidRPr="00000000">
      <w:rPr>
        <w:rFonts w:ascii="Century Gothic" w:cs="Century Gothic" w:eastAsia="Century Gothic" w:hAnsi="Century Gothic"/>
        <w:sz w:val="18"/>
        <w:szCs w:val="18"/>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1">
    <w:pPr>
      <w:pageBreakBefore w:val="0"/>
      <w:widowControl w:val="0"/>
      <w:tabs>
        <w:tab w:val="center" w:leader="none" w:pos="4320"/>
        <w:tab w:val="right" w:leader="none" w:pos="8640"/>
      </w:tabs>
      <w:spacing w:before="708"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18"/>
        <w:szCs w:val="18"/>
        <w:rtl w:val="0"/>
      </w:rPr>
      <w:t xml:space="preserve">Panama Model United Nations </w:t>
    </w:r>
    <w:r w:rsidDel="00000000" w:rsidR="00000000" w:rsidRPr="00000000">
      <w:rPr>
        <w:rFonts w:ascii="Century Gothic" w:cs="Century Gothic" w:eastAsia="Century Gothic" w:hAnsi="Century Gothic"/>
        <w:b w:val="1"/>
        <w:bCs w:val="1"/>
        <w:color w:val="0000ff"/>
        <w:sz w:val="18"/>
        <w:szCs w:val="18"/>
        <w:rtl w:val="0"/>
      </w:rPr>
      <w:t xml:space="preserve">2026 </w:t>
    </w:r>
    <w:r w:rsidDel="00000000" w:rsidR="00000000" w:rsidRPr="00000000">
      <w:rPr>
        <w:rFonts w:ascii="Century Gothic" w:cs="Century Gothic" w:eastAsia="Century Gothic" w:hAnsi="Century Gothic"/>
        <w:sz w:val="18"/>
        <w:szCs w:val="18"/>
        <w:rtl w:val="0"/>
      </w:rPr>
      <w:t xml:space="preserve">| XXXIV Annual Session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researchgate.net/publication/224882799_The_Rehabilitation_and_Reintegration_of_OffendersThe_Current_Landscape_and_Some_Future_Directions_for_Correctional_Psychology" TargetMode="External"/><Relationship Id="rId10" Type="http://schemas.openxmlformats.org/officeDocument/2006/relationships/hyperlink" Target="https://pmc.ncbi.nlm.nih.gov/articles/PMC10947981/" TargetMode="External"/><Relationship Id="rId13" Type="http://schemas.openxmlformats.org/officeDocument/2006/relationships/header" Target="header1.xml"/><Relationship Id="rId12" Type="http://schemas.openxmlformats.org/officeDocument/2006/relationships/hyperlink" Target="https://www.vera.org/news/what-breaking-cycles-of-crime-actually-mean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mnesty.org/en/what-we-do/discrimination/racial-justice/"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www.vera.org/news/how-the-united-states-punishes-people-for-being-poo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MLA" SelectedStyle="/MLASeventhEditionOfficeOnline.xsl" Version="7">
  <b:Source>
    <b:Tag>source1</b:Tag>
    <b:SourceType>DocumentFromInternetSite</b:SourceType>
    <b:DayAccessed>9</b:DayAccessed>
    <b:MonthAccessed>May</b:MonthAccessed>
    <b:Title>Deforestation and Forest Degradation | Threats | WWF</b:Title>
    <b:URL>https://www.worldwildlife.org/threats/deforestation-and-forest-degradation</b:URL>
    <b:InternetSiteTitle>World Wildlife Fund</b:InternetSiteTitle>
    <b:Year>2022</b:Year>
    <b:YearAccessed>2023</b:YearAccessed>
    <b:Gdcea>{"AccessedType":"Website"}</b:Gdcea>
    <b:Author>
      <b:Author>
        <b:Corporate>World Wide Fund for Nature</b:Corporate>
      </b:Author>
    </b:Author>
  </b:Source>
  <b:Source>
    <b:Tag>source2</b:Tag>
    <b:SourceType>DocumentFromInternetSite</b:SourceType>
    <b:DayAccessed>7</b:DayAccessed>
    <b:MonthAccessed>April</b:MonthAccessed>
    <b:Title>The Ethics of Legalizing Medical Marijuana | Section Title | Ethical Inquiry | ENACT: The Educational Network for Active Civic Transformation</b:Title>
    <b:URL>https://www.brandeis.edu/enact/archive/ethical-inquiry/2013/legalizing-marijuana.html</b:URL>
    <b:InternetSiteTitle>Brandeis University</b:InternetSiteTitle>
    <b:Year>2013</b:Year>
    <b:YearAccessed>2024</b:YearAccessed>
    <b:Gdcea>{"AccessedType":"Website"}</b:Gdcea>
    <b:Author>
      <b:Author>
        <b:Corporate>Brandeis University</b:Corporate>
      </b:Author>
    </b:Author>
  </b:Source>
  <b:Source>
    <b:Tag>source3</b:Tag>
    <b:SourceType>DocumentFromInternetSite</b:SourceType>
    <b:Day>10</b:Day>
    <b:DayAccessed>7</b:DayAccessed>
    <b:Month>July</b:Month>
    <b:MonthAccessed>April</b:MonthAccessed>
    <b:Title>Drug Misuse and Addiction</b:Title>
    <b:URL>https://nida.nih.gov/publications/drugs-brains-behavior-science-addiction/drug-misuse-addiction</b:URL>
    <b:InternetSiteTitle>National Institute on Drug Abuse</b:InternetSiteTitle>
    <b:Year>2020</b:Year>
    <b:YearAccessed>2024</b:YearAccessed>
    <b:Gdcea>{"AccessedType":"Website"}</b:Gdcea>
    <b:Author>
      <b:Author>
        <b:Corporate>National Institute on Drug Abuse</b:Corporate>
      </b:Author>
    </b:Author>
  </b:Source>
  <b:Source>
    <b:Tag>source4</b:Tag>
    <b:SourceType>DocumentFromInternetSite</b:SourceType>
    <b:Day>5</b:Day>
    <b:DayAccessed>7</b:DayAccessed>
    <b:Month>March</b:Month>
    <b:MonthAccessed>April</b:MonthAccessed>
    <b:Title>War on Drugs | History &amp; Mass Incarceration</b:Title>
    <b:URL>https://www.britannica.com/topic/war-on-drugs</b:URL>
    <b:InternetSiteTitle>Britannica</b:InternetSiteTitle>
    <b:Year>2024</b:Year>
    <b:YearAccessed>2024</b:YearAccessed>
    <b:Gdcea>{"AccessedType":"Website"}</b:Gdcea>
    <b:Author>
      <b:Author>
        <b:NameList>
          <b:Person>
            <b:First>Philip</b:First>
            <b:Last>Jenkins</b:Last>
          </b:Person>
        </b:NameList>
      </b:Author>
    </b:Author>
  </b:Source>
  <b:Source>
    <b:Tag>source5</b:Tag>
    <b:SourceType>DocumentFromInternetSite</b:SourceType>
    <b:DayAccessed>7</b:DayAccessed>
    <b:MonthAccessed>April</b:MonthAccessed>
    <b:Title>Definition of opioid - NCI Dictionary of Cancer Terms - NCI</b:Title>
    <b:URL>https://www.cancer.gov/publications/dictionaries/cancer-terms/def/opioid</b:URL>
    <b:InternetSiteTitle>National Cancer Institute</b:InternetSiteTitle>
    <b:Year>2024</b:Year>
    <b:YearAccessed>2024</b:YearAccessed>
    <b:Gdcea>{"AccessedType":"Website"}</b:Gdcea>
    <b:Author>
      <b:Author>
        <b:Corporate>National Cancer Institute</b:Corporate>
      </b:Author>
    </b:Author>
  </b:Source>
  <b:Source>
    <b:Tag>source6</b:Tag>
    <b:SourceType>DocumentFromInternetSite</b:SourceType>
    <b:DayAccessed>7</b:DayAccessed>
    <b:MonthAccessed>April</b:MonthAccessed>
    <b:Title>Opioid Overdose | Drug Overdose | CDC Injury Center</b:Title>
    <b:URL>https://www.cdc.gov/drugoverdose/deaths/opioid-overdose.html</b:URL>
    <b:InternetSiteTitle>Centers for Disease Control and Prevention</b:InternetSiteTitle>
    <b:Year>2021</b:Year>
    <b:YearAccessed>2024</b:YearAccessed>
    <b:Gdcea>{"AccessedType":"Website"}</b:Gdcea>
    <b:Author>
      <b:Author>
        <b:Corporate>Centers for Disease Control and Prevention</b:Corporate>
      </b:Author>
    </b:Author>
  </b:Source>
  <b:Source>
    <b:Tag>source7</b:Tag>
    <b:SourceType>DocumentFromInternetSite</b:SourceType>
    <b:DayAccessed>7</b:DayAccessed>
    <b:Month>March</b:Month>
    <b:MonthAccessed>April</b:MonthAccessed>
    <b:Title>Opioids</b:Title>
    <b:URL>https://nida.nih.gov/research-topics/opioids</b:URL>
    <b:InternetSiteTitle>National Institute on Drug Abuse</b:InternetSiteTitle>
    <b:Year>2024</b:Year>
    <b:YearAccessed>2024</b:YearAccessed>
    <b:Gdcea>{"AccessedType":"Website"}</b:Gdcea>
    <b:Author>
      <b:Author>
        <b:Corporate>National Institute on Drug Abuse</b:Corporate>
      </b:Author>
    </b:Author>
  </b:Source>
  <b:Source>
    <b:Tag>source8</b:Tag>
    <b:SourceType>DocumentFromInternetSite</b:SourceType>
    <b:DayAccessed>7</b:DayAccessed>
    <b:MonthAccessed>April</b:MonthAccessed>
    <b:Title>America's War on Drugs — 50 Years Later</b:Title>
    <b:URL>https://civilrights.org/blog/americas-war-on-drugs-50-years-later/</b:URL>
    <b:InternetSiteTitle>The Leadership Conference on Civil and Human Rights</b:InternetSiteTitle>
    <b:Year>2021</b:Year>
    <b:YearAccessed>2024</b:YearAccessed>
    <b:Gdcea>{"AccessedType":"Website"}</b:Gdcea>
    <b:Author>
      <b:Author>
        <b:NameList>
          <b:Person>
            <b:First>Ignacio</b:First>
            <b:Middle>Diaz</b:Middle>
            <b:Last>Pascual</b:Last>
          </b:Person>
        </b:NameList>
      </b:Author>
    </b:Author>
  </b:Source>
  <b:Source>
    <b:Tag>source9</b:Tag>
    <b:SourceType>DocumentFromInternetSite</b:SourceType>
    <b:Day>8</b:Day>
    <b:DayAccessed>7</b:DayAccessed>
    <b:Month>May</b:Month>
    <b:MonthAccessed>April</b:MonthAccessed>
    <b:Title>The war on drugs, explained</b:Title>
    <b:URL>https://www.vox.com/2016/5/8/18089368/war-on-drugs-marijuana-cocaine-heroin-meth</b:URL>
    <b:InternetSiteTitle>Vox</b:InternetSiteTitle>
    <b:Year>2016</b:Year>
    <b:YearAccessed>2024</b:YearAccessed>
    <b:Gdcea>{"AccessedType":"Website"}</b:Gdcea>
    <b:Author>
      <b:Author>
        <b:NameList>
          <b:Person>
            <b:First>German</b:First>
            <b:Last>Lopez</b:Last>
          </b:Person>
        </b:NameList>
      </b:Author>
    </b:Author>
  </b:Source>
  <b:Source>
    <b:Tag>source10</b:Tag>
    <b:SourceType>DocumentFromInternetSite</b:SourceType>
    <b:Day>3</b:Day>
    <b:DayAccessed>8</b:DayAccessed>
    <b:Month>January</b:Month>
    <b:MonthAccessed>April</b:MonthAccessed>
    <b:Title>Prescription Drug Abuse &amp; Addiction Treatment Near Me</b:Title>
    <b:URL>https://americanaddictioncenters.org/prescription-drugs</b:URL>
    <b:InternetSiteTitle>American Addiction Centers</b:InternetSiteTitle>
    <b:Year>2024</b:Year>
    <b:YearAccessed>2024</b:YearAccessed>
    <b:Gdcea>{"AccessedType":"Website"}</b:Gdcea>
    <b:Author>
      <b:Author>
        <b:Corporate>US Department of Health</b:Corporate>
      </b:Author>
    </b:Author>
  </b:Source>
  <b:Source>
    <b:Tag>source11</b:Tag>
    <b:SourceType>DocumentFromInternetSite</b:SourceType>
    <b:Day>24</b:Day>
    <b:DayAccessed>8</b:DayAccessed>
    <b:Month>March</b:Month>
    <b:MonthAccessed>April</b:MonthAccessed>
    <b:Title>What Are Gateway Drugs? - Crest View Recovery</b:Title>
    <b:URL>https://www.crestviewrecoverycenter.com/addiction-blog/gateway-drugs/</b:URL>
    <b:InternetSiteTitle>Crest View Recovery Center</b:InternetSiteTitle>
    <b:Year>2024</b:Year>
    <b:YearAccessed>2024</b:YearAccessed>
    <b:Gdcea>{"AccessedType":"Website"}</b:Gdcea>
    <b:Author>
      <b:Author>
        <b:Corporate>Gateway Drugs Individual Counseling</b:Corporate>
      </b:Author>
    </b:Author>
  </b:Source>
  <b:Source>
    <b:Tag>source12</b:Tag>
    <b:SourceType>DocumentFromInternetSite</b:SourceType>
    <b:DayAccessed>12</b:DayAccessed>
    <b:MonthAccessed>April</b:MonthAccessed>
    <b:Title>Single Convention on Narcotic Drugs</b:Title>
    <b:URL>https://polis.osce.org/single-convention-narcotic-drugs</b:URL>
    <b:InternetSiteTitle>OSCE POLIS</b:InternetSiteTitle>
    <b:Year>2024</b:Year>
    <b:YearAccessed>2024</b:YearAccessed>
    <b:Gdcea>{"AccessedType":"Website"}</b:Gdcea>
    <b:Author>
      <b:Author>
        <b:Corporate>OSCE</b:Corporate>
      </b:Author>
    </b:Author>
  </b:Source>
  <b:Source>
    <b:Tag>source13</b:Tag>
    <b:SourceType>DocumentFromInternetSite</b:SourceType>
    <b:DayAccessed>12</b:DayAccessed>
    <b:MonthAccessed>April</b:MonthAccessed>
    <b:Title>Single Convention on Narcotic Drugs, 1961</b:Title>
    <b:URL>https://www.unodc.org/unodc/en/treaties/single-convention.html</b:URL>
    <b:InternetSiteTitle>United Nations Office on Drugs and Crime</b:InternetSiteTitle>
    <b:YearAccessed>2024</b:YearAccessed>
    <b:Gdcea>{"AccessedType":"Website"}</b:Gdcea>
    <b:Author>
      <b:Author>
        <b:Corporate>United Nations Office on Drugs and Crimes</b:Corporate>
      </b:Author>
    </b:Author>
  </b:Source>
  <b:Source>
    <b:Tag>source14</b:Tag>
    <b:SourceType>DocumentFromInternetSite</b:SourceType>
    <b:DayAccessed>12</b:DayAccessed>
    <b:MonthAccessed>April</b:MonthAccessed>
    <b:Title>UNTC</b:Title>
    <b:URL>https://treaties.un.org/Pages/ViewDetails.aspx?src=TREATY&amp;mtdsg_no=VI-18&amp;chapter=6&amp;clang=_en</b:URL>
    <b:InternetSiteTitle>UNTC</b:InternetSiteTitle>
    <b:YearAccessed>2024</b:YearAccessed>
    <b:Gdcea>{"AccessedType":"Website"}</b:Gdcea>
    <b:Author>
      <b:Author>
        <b:Corporate>United Nations Treaty Collection</b:Corporate>
      </b:Author>
    </b:Author>
  </b:Source>
  <b:Source>
    <b:Tag>source15</b:Tag>
    <b:SourceType>DocumentFromInternetSite</b:SourceType>
    <b:Day>21</b:Day>
    <b:DayAccessed>12</b:DayAccessed>
    <b:Month>April</b:Month>
    <b:MonthAccessed>April</b:MonthAccessed>
    <b:Title>Scheduling medicines as controlled substances: addressing normative and democratic gaps through human rights-based analysis</b:Title>
    <b:URL>https://www.ncbi.nlm.nih.gov/pmc/articles/PMC7171726/</b:URL>
    <b:InternetSiteTitle>NCBI</b:InternetSiteTitle>
    <b:Year>2020</b:Year>
    <b:YearAccessed>2024</b:YearAccessed>
    <b:Gdcea>{"AccessedType":"Website"}</b:Gdcea>
    <b:Author>
      <b:Author>
        <b:Corporate>National Institute of Health</b:Corporate>
      </b:Author>
    </b:Author>
  </b:Source>
  <b:Source>
    <b:Tag>source16</b:Tag>
    <b:SourceType>DocumentFromInternetSite</b:SourceType>
    <b:DayAccessed>12</b:DayAccessed>
    <b:MonthAccessed>April</b:MonthAccessed>
    <b:Title>International Drug Control Conventions (1961, 1971 and 1988 Conventions)</b:Title>
    <b:URL>https://www.wto.org/english/res_e/booksp_e/int_exp_regs_part2_1_e.pdf</b:URL>
    <b:InternetSiteTitle>World Trade Organization</b:InternetSiteTitle>
    <b:Year>2023</b:Year>
    <b:YearAccessed>2024</b:YearAccessed>
    <b:Gdcea>{"AccessedType":"Website"}</b:Gdcea>
    <b:Author>
      <b:Author>
        <b:Corporate>International Narcotics Control Board</b:Corporate>
      </b:Author>
    </b:Author>
  </b:Source>
  <b:Source>
    <b:Tag>source17</b:Tag>
    <b:SourceType>DocumentFromInternetSite</b:SourceType>
    <b:Day>20</b:Day>
    <b:DayAccessed>13</b:DayAccessed>
    <b:Month>December</b:Month>
    <b:MonthAccessed>April</b:MonthAccessed>
    <b:Title>Strengthening of palliative care as a component of integrated treatment throughout the life course</b:Title>
    <b:URL>https://apps.who.int/gb/ebwha/pdf_files/EB134/B134_28-en.pdf</b:URL>
    <b:InternetSiteTitle>World Health Organization (WHO)</b:InternetSiteTitle>
    <b:Year>2013</b:Year>
    <b:YearAccessed>2024</b:YearAccessed>
    <b:Gdcea>{"AccessedType":"Website"}</b:Gdcea>
    <b:Author>
      <b:Author>
        <b:Corporate>World Health Organization</b:Corporate>
      </b:Author>
    </b:Author>
  </b:Source>
  <b:Source>
    <b:Tag>source18</b:Tag>
    <b:SourceType>DocumentFromInternetSite</b:SourceType>
    <b:DayAccessed>14</b:DayAccessed>
    <b:MonthAccessed>April</b:MonthAccessed>
    <b:Title>INCB Psychotropic Substances</b:Title>
    <b:URL>https://www.incb.org/incb/en/psychotropics/index.html</b:URL>
    <b:InternetSiteTitle>INCB</b:InternetSiteTitle>
    <b:YearAccessed>2024</b:YearAccessed>
    <b:Gdcea>{"AccessedType":"Website"}</b:Gdcea>
    <b:Author>
      <b:Author>
        <b:Corporate>International Narcotics Control Board</b:Corporate>
      </b:Author>
    </b:Author>
  </b:Source>
  <b:Source>
    <b:Tag>source19</b:Tag>
    <b:SourceType>DocumentFromInternetSite</b:SourceType>
    <b:DayAccessed>14</b:DayAccessed>
    <b:MonthAccessed>April</b:MonthAccessed>
    <b:Publisher>International Narcotics Control Board</b:Publisher>
    <b:Title>Psychotropic Substances 2023 (Statistics for 2022)</b:Title>
    <b:URL>https://www.incb.org/documents/Psychotropics/technical-publications/2023/2323691-Psychotropic-Substances-2023-ebook.pdf</b:URL>
    <b:InternetSiteTitle>Wikipedia</b:InternetSiteTitle>
    <b:YearAccessed>2024</b:YearAccessed>
    <b:Gdcea>{"AccessedType":"Website"}</b:Gdcea>
    <b:Author>
      <b:Author>
        <b:Corporate>International Narcotics Control Board</b:Corporate>
      </b:Author>
    </b:Author>
  </b:Source>
  <b:Source>
    <b:Tag>source20</b:Tag>
    <b:SourceType>DocumentFromInternetSite</b:SourceType>
    <b:DayAccessed>6</b:DayAccessed>
    <b:MonthAccessed>May</b:MonthAccessed>
    <b:URL>https://nida.nih.gov/research-topics/trends-statistics/overdose-death-rates</b:URL>
    <b:InternetSiteTitle>NIDA.NIH.GOV | National Institute on Drug Abuse (NIDA)</b:InternetSiteTitle>
    <b:YearAccessed>2024</b:YearAccessed>
    <b:Gdcea>{"AccessedType":"Website"}</b:Gdcea>
  </b:Source>
</b:Sources>
</file>

<file path=customXML/itemProps1.xml><?xml version="1.0" encoding="utf-8"?>
<ds:datastoreItem xmlns:ds="http://schemas.openxmlformats.org/officeDocument/2006/customXml" ds:itemID="{22222222-1234-1234-1234-123412341234}">
  <ds:schemaRefs>
    <ds:schemaRef ds:uri="http://schemas.openxmlformats.org/officeDocument/2006/bibliography"/>
  </ds:schemaRefs>
</ds:datastoreItem>
</file>